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946737" w:rsidTr="00946737">
        <w:trPr>
          <w:trHeight w:val="387"/>
        </w:trPr>
        <w:tc>
          <w:tcPr>
            <w:tcW w:w="4788" w:type="dxa"/>
            <w:vMerge w:val="restart"/>
          </w:tcPr>
          <w:p w:rsidR="00946737" w:rsidRDefault="00946737">
            <w:r>
              <w:rPr>
                <w:noProof/>
              </w:rPr>
              <w:drawing>
                <wp:inline distT="0" distB="0" distL="0" distR="0" wp14:anchorId="3155C3F6" wp14:editId="424B72EF">
                  <wp:extent cx="2699385" cy="459105"/>
                  <wp:effectExtent l="0" t="0" r="5715" b="0"/>
                  <wp:docPr id="2" name="Picture 2" descr="\\hcmc\users\bmckee\My Documents\My Pictures\HCMC Horizontal_1 cop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mc\users\bmckee\My Documents\My Pictures\HCMC Horizontal_1 copy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9385" cy="459105"/>
                          </a:xfrm>
                          <a:prstGeom prst="rect">
                            <a:avLst/>
                          </a:prstGeom>
                          <a:noFill/>
                          <a:ln>
                            <a:noFill/>
                          </a:ln>
                        </pic:spPr>
                      </pic:pic>
                    </a:graphicData>
                  </a:graphic>
                </wp:inline>
              </w:drawing>
            </w:r>
          </w:p>
          <w:p w:rsidR="00946737" w:rsidRDefault="00946737">
            <w:r>
              <w:t>301 Tyson Avenue* Paris, TN</w:t>
            </w:r>
          </w:p>
          <w:p w:rsidR="00946737" w:rsidRDefault="00946737" w:rsidP="00553BFA">
            <w:r>
              <w:t>Policies/Procedures</w:t>
            </w:r>
          </w:p>
          <w:p w:rsidR="00946737" w:rsidRDefault="00946737" w:rsidP="00553BFA"/>
        </w:tc>
        <w:tc>
          <w:tcPr>
            <w:tcW w:w="4788" w:type="dxa"/>
          </w:tcPr>
          <w:p w:rsidR="005B7148" w:rsidRDefault="00946737" w:rsidP="00553BFA">
            <w:pPr>
              <w:jc w:val="left"/>
            </w:pPr>
            <w:r>
              <w:t xml:space="preserve">Policy: </w:t>
            </w:r>
          </w:p>
          <w:p w:rsidR="00946737" w:rsidRDefault="00D71FC8" w:rsidP="00553BFA">
            <w:pPr>
              <w:jc w:val="left"/>
              <w:rPr>
                <w:sz w:val="28"/>
                <w:szCs w:val="28"/>
              </w:rPr>
            </w:pPr>
            <w:r w:rsidRPr="005B7148">
              <w:rPr>
                <w:sz w:val="28"/>
                <w:szCs w:val="28"/>
              </w:rPr>
              <w:t>Financial Assistance</w:t>
            </w:r>
            <w:r w:rsidR="00955B5B" w:rsidRPr="005B7148">
              <w:rPr>
                <w:sz w:val="28"/>
                <w:szCs w:val="28"/>
              </w:rPr>
              <w:t xml:space="preserve"> Program</w:t>
            </w:r>
          </w:p>
          <w:p w:rsidR="005B7148" w:rsidRDefault="005B7148" w:rsidP="00553BFA">
            <w:pPr>
              <w:jc w:val="left"/>
            </w:pPr>
          </w:p>
        </w:tc>
      </w:tr>
      <w:tr w:rsidR="00946737" w:rsidTr="0063768C">
        <w:trPr>
          <w:trHeight w:val="385"/>
        </w:trPr>
        <w:tc>
          <w:tcPr>
            <w:tcW w:w="4788" w:type="dxa"/>
            <w:vMerge/>
          </w:tcPr>
          <w:p w:rsidR="00946737" w:rsidRDefault="00946737">
            <w:pPr>
              <w:rPr>
                <w:noProof/>
              </w:rPr>
            </w:pPr>
          </w:p>
        </w:tc>
        <w:tc>
          <w:tcPr>
            <w:tcW w:w="4788" w:type="dxa"/>
          </w:tcPr>
          <w:p w:rsidR="00946737" w:rsidRDefault="00946737" w:rsidP="00553BFA">
            <w:pPr>
              <w:jc w:val="left"/>
            </w:pPr>
            <w:r>
              <w:t>Approved By:</w:t>
            </w:r>
          </w:p>
        </w:tc>
      </w:tr>
      <w:tr w:rsidR="0063768C" w:rsidTr="0063768C">
        <w:tc>
          <w:tcPr>
            <w:tcW w:w="4788" w:type="dxa"/>
          </w:tcPr>
          <w:p w:rsidR="0063768C" w:rsidRDefault="00946737" w:rsidP="0063768C">
            <w:pPr>
              <w:jc w:val="left"/>
            </w:pPr>
            <w:r>
              <w:t>Department:</w:t>
            </w:r>
            <w:r w:rsidR="00D71FC8">
              <w:t xml:space="preserve"> Patient Financial Services</w:t>
            </w:r>
          </w:p>
        </w:tc>
        <w:tc>
          <w:tcPr>
            <w:tcW w:w="4788" w:type="dxa"/>
          </w:tcPr>
          <w:p w:rsidR="0063768C" w:rsidRDefault="00553BFA" w:rsidP="00553BFA">
            <w:pPr>
              <w:jc w:val="left"/>
            </w:pPr>
            <w:r>
              <w:t xml:space="preserve">Policy Number: </w:t>
            </w:r>
            <w:r w:rsidR="00201EBF">
              <w:t>8310.1.1.160</w:t>
            </w:r>
          </w:p>
        </w:tc>
      </w:tr>
      <w:tr w:rsidR="00946737" w:rsidTr="0063768C">
        <w:tc>
          <w:tcPr>
            <w:tcW w:w="4788" w:type="dxa"/>
          </w:tcPr>
          <w:p w:rsidR="00946737" w:rsidRDefault="00946737" w:rsidP="00553BFA">
            <w:pPr>
              <w:jc w:val="left"/>
            </w:pPr>
          </w:p>
        </w:tc>
        <w:tc>
          <w:tcPr>
            <w:tcW w:w="4788" w:type="dxa"/>
          </w:tcPr>
          <w:p w:rsidR="00946737" w:rsidRDefault="00946737" w:rsidP="008668AA">
            <w:pPr>
              <w:jc w:val="left"/>
            </w:pPr>
            <w:r>
              <w:t>Approval Date:</w:t>
            </w:r>
            <w:r w:rsidR="00201EBF">
              <w:t>5/1/18</w:t>
            </w:r>
            <w:bookmarkStart w:id="0" w:name="_GoBack"/>
            <w:bookmarkEnd w:id="0"/>
          </w:p>
        </w:tc>
      </w:tr>
      <w:tr w:rsidR="00946737" w:rsidTr="0063768C">
        <w:tc>
          <w:tcPr>
            <w:tcW w:w="4788" w:type="dxa"/>
          </w:tcPr>
          <w:p w:rsidR="00946737" w:rsidRDefault="00946737"/>
        </w:tc>
        <w:tc>
          <w:tcPr>
            <w:tcW w:w="4788" w:type="dxa"/>
          </w:tcPr>
          <w:p w:rsidR="00946737" w:rsidRDefault="00946737" w:rsidP="008668AA">
            <w:pPr>
              <w:jc w:val="left"/>
            </w:pPr>
            <w:r>
              <w:t>Supersedes:</w:t>
            </w:r>
          </w:p>
        </w:tc>
      </w:tr>
    </w:tbl>
    <w:p w:rsidR="006D4D29" w:rsidRDefault="006D4D29" w:rsidP="006D4D29"/>
    <w:p w:rsidR="00D71FC8" w:rsidRPr="00F742ED" w:rsidRDefault="00D71FC8" w:rsidP="00D71FC8">
      <w:pPr>
        <w:jc w:val="left"/>
        <w:rPr>
          <w:b/>
          <w:sz w:val="20"/>
          <w:szCs w:val="20"/>
          <w:u w:val="single"/>
        </w:rPr>
      </w:pPr>
      <w:r w:rsidRPr="00F742ED">
        <w:rPr>
          <w:b/>
          <w:sz w:val="20"/>
          <w:szCs w:val="20"/>
          <w:u w:val="single"/>
        </w:rPr>
        <w:t>PURPOSE:</w:t>
      </w:r>
      <w:r w:rsidR="005A193C" w:rsidRPr="00F742ED">
        <w:rPr>
          <w:b/>
          <w:sz w:val="20"/>
          <w:szCs w:val="20"/>
        </w:rPr>
        <w:t xml:space="preserve">  </w:t>
      </w:r>
      <w:r w:rsidRPr="00F742ED">
        <w:rPr>
          <w:sz w:val="20"/>
          <w:szCs w:val="20"/>
        </w:rPr>
        <w:t>To define eligibility, application and approval processes for Financial Assistance. Financial Assistance is offered to uninsured, underinsured, and medically indigent patients who indicate an inability to pay for emergency and other medically necessary care provided at Henry County Medical Center</w:t>
      </w:r>
      <w:r w:rsidR="005A193C" w:rsidRPr="00F742ED">
        <w:rPr>
          <w:sz w:val="20"/>
          <w:szCs w:val="20"/>
        </w:rPr>
        <w:t xml:space="preserve"> (HCMC)</w:t>
      </w:r>
      <w:r w:rsidRPr="00F742ED">
        <w:rPr>
          <w:sz w:val="20"/>
          <w:szCs w:val="20"/>
        </w:rPr>
        <w:t xml:space="preserve">.  This policy and process will be applied without discrimination.  </w:t>
      </w:r>
    </w:p>
    <w:p w:rsidR="00D71FC8" w:rsidRPr="00F742ED" w:rsidRDefault="00D71FC8" w:rsidP="006D4D29">
      <w:pPr>
        <w:rPr>
          <w:sz w:val="20"/>
          <w:szCs w:val="20"/>
        </w:rPr>
      </w:pPr>
    </w:p>
    <w:p w:rsidR="00D71FC8" w:rsidRPr="00F742ED" w:rsidRDefault="00D71FC8" w:rsidP="00D71FC8">
      <w:pPr>
        <w:jc w:val="left"/>
        <w:rPr>
          <w:sz w:val="20"/>
          <w:szCs w:val="20"/>
        </w:rPr>
      </w:pPr>
      <w:r w:rsidRPr="00F742ED">
        <w:rPr>
          <w:b/>
          <w:sz w:val="20"/>
          <w:szCs w:val="20"/>
          <w:u w:val="single"/>
        </w:rPr>
        <w:t>SCOPE:</w:t>
      </w:r>
      <w:r w:rsidR="005A193C" w:rsidRPr="00F742ED">
        <w:rPr>
          <w:b/>
          <w:sz w:val="20"/>
          <w:szCs w:val="20"/>
        </w:rPr>
        <w:t xml:space="preserve">  </w:t>
      </w:r>
      <w:r w:rsidRPr="00F742ED">
        <w:rPr>
          <w:sz w:val="20"/>
          <w:szCs w:val="20"/>
        </w:rPr>
        <w:t>All Henry County Medical Center (HCMC) (owned, operated, leased, and managed) including, but not limited to, hospitals, ambulatory surgery centers, outpatient imaging centers, physician practices, Corporate Departments, Groups, and Divisions.</w:t>
      </w:r>
    </w:p>
    <w:p w:rsidR="0063768C" w:rsidRPr="00F742ED" w:rsidRDefault="0063768C" w:rsidP="0063768C">
      <w:pPr>
        <w:jc w:val="left"/>
        <w:rPr>
          <w:b/>
          <w:sz w:val="20"/>
          <w:szCs w:val="20"/>
          <w:u w:val="single"/>
        </w:rPr>
      </w:pPr>
    </w:p>
    <w:p w:rsidR="005A193C" w:rsidRPr="00F742ED" w:rsidRDefault="005A193C" w:rsidP="0063768C">
      <w:pPr>
        <w:jc w:val="left"/>
        <w:rPr>
          <w:b/>
          <w:sz w:val="20"/>
          <w:szCs w:val="20"/>
        </w:rPr>
      </w:pPr>
      <w:r w:rsidRPr="00F742ED">
        <w:rPr>
          <w:b/>
          <w:sz w:val="20"/>
          <w:szCs w:val="20"/>
          <w:u w:val="single"/>
        </w:rPr>
        <w:t>DEFINITIONS:</w:t>
      </w:r>
      <w:r w:rsidRPr="00F742ED">
        <w:rPr>
          <w:b/>
          <w:sz w:val="20"/>
          <w:szCs w:val="20"/>
        </w:rPr>
        <w:t xml:space="preserve">  </w:t>
      </w:r>
    </w:p>
    <w:p w:rsidR="005A193C" w:rsidRPr="00F742ED" w:rsidRDefault="005A193C" w:rsidP="002E741B">
      <w:pPr>
        <w:jc w:val="left"/>
        <w:rPr>
          <w:sz w:val="20"/>
          <w:szCs w:val="20"/>
        </w:rPr>
      </w:pPr>
      <w:r w:rsidRPr="00F742ED">
        <w:rPr>
          <w:b/>
          <w:sz w:val="20"/>
          <w:szCs w:val="20"/>
        </w:rPr>
        <w:t>Amounts Generally Billed (AGB):</w:t>
      </w:r>
      <w:r w:rsidRPr="00F742ED">
        <w:rPr>
          <w:sz w:val="20"/>
          <w:szCs w:val="20"/>
        </w:rPr>
        <w:t xml:space="preserve"> The amount generally billed to a HCMC patient who has insurance coverage as </w:t>
      </w:r>
      <w:r w:rsidR="000652C5">
        <w:rPr>
          <w:sz w:val="20"/>
          <w:szCs w:val="20"/>
        </w:rPr>
        <w:t>d</w:t>
      </w:r>
      <w:r w:rsidRPr="00F742ED">
        <w:rPr>
          <w:sz w:val="20"/>
          <w:szCs w:val="20"/>
        </w:rPr>
        <w:t>efined in IRS Section 501(r</w:t>
      </w:r>
      <w:proofErr w:type="gramStart"/>
      <w:r w:rsidRPr="00F742ED">
        <w:rPr>
          <w:sz w:val="20"/>
          <w:szCs w:val="20"/>
        </w:rPr>
        <w:t>)(</w:t>
      </w:r>
      <w:proofErr w:type="gramEnd"/>
      <w:r w:rsidRPr="00F742ED">
        <w:rPr>
          <w:sz w:val="20"/>
          <w:szCs w:val="20"/>
        </w:rPr>
        <w:t xml:space="preserve">5). </w:t>
      </w:r>
    </w:p>
    <w:p w:rsidR="005A193C" w:rsidRPr="00F742ED" w:rsidRDefault="005A193C" w:rsidP="0063768C">
      <w:pPr>
        <w:jc w:val="left"/>
        <w:rPr>
          <w:sz w:val="20"/>
          <w:szCs w:val="20"/>
        </w:rPr>
      </w:pPr>
      <w:r w:rsidRPr="00F742ED">
        <w:rPr>
          <w:b/>
          <w:sz w:val="20"/>
          <w:szCs w:val="20"/>
        </w:rPr>
        <w:t>Application Process:</w:t>
      </w:r>
      <w:r w:rsidRPr="00F742ED">
        <w:rPr>
          <w:sz w:val="20"/>
          <w:szCs w:val="20"/>
        </w:rPr>
        <w:t xml:space="preserve"> A process by which a patient or their appropriate representative completes a paper form that </w:t>
      </w:r>
      <w:proofErr w:type="gramStart"/>
      <w:r w:rsidRPr="00F742ED">
        <w:rPr>
          <w:sz w:val="20"/>
          <w:szCs w:val="20"/>
        </w:rPr>
        <w:t>provides</w:t>
      </w:r>
      <w:proofErr w:type="gramEnd"/>
      <w:r w:rsidRPr="00F742ED">
        <w:rPr>
          <w:sz w:val="20"/>
          <w:szCs w:val="20"/>
        </w:rPr>
        <w:t xml:space="preserve"> HCMC with information on the patient’s income, family size and assets. All applications will be evaluated on a case-by-case basis by appropriate HCMC representatives taking into consideration medical condition, employment status, and potential future earnings. </w:t>
      </w:r>
    </w:p>
    <w:p w:rsidR="0063768C" w:rsidRDefault="005A193C" w:rsidP="0063768C">
      <w:pPr>
        <w:jc w:val="left"/>
        <w:rPr>
          <w:sz w:val="20"/>
          <w:szCs w:val="20"/>
        </w:rPr>
      </w:pPr>
      <w:r w:rsidRPr="00F742ED">
        <w:rPr>
          <w:b/>
          <w:sz w:val="20"/>
          <w:szCs w:val="20"/>
        </w:rPr>
        <w:t>Bad Debt:</w:t>
      </w:r>
      <w:r w:rsidRPr="00F742ED">
        <w:rPr>
          <w:sz w:val="20"/>
          <w:szCs w:val="20"/>
        </w:rPr>
        <w:t xml:space="preserve"> Uncollected patient financial liabilities that have not been resolved at the end of the patient billing cycle and for which there is no documented inability to pay.</w:t>
      </w:r>
    </w:p>
    <w:p w:rsidR="00F742ED" w:rsidRPr="00F742ED" w:rsidRDefault="00F742ED" w:rsidP="0063768C">
      <w:pPr>
        <w:jc w:val="left"/>
        <w:rPr>
          <w:b/>
          <w:sz w:val="20"/>
          <w:szCs w:val="20"/>
          <w:u w:val="single"/>
        </w:rPr>
      </w:pPr>
      <w:r w:rsidRPr="00F742ED">
        <w:rPr>
          <w:b/>
        </w:rPr>
        <w:t>Discharge Medications:</w:t>
      </w:r>
      <w:r>
        <w:t xml:space="preserve"> Broadly defined as patient prescriptions or patient use items sold </w:t>
      </w:r>
      <w:r w:rsidR="002E741B">
        <w:t>by HCMC</w:t>
      </w:r>
      <w:r>
        <w:t xml:space="preserve">’s Retail Pharmacy and necessary for the continued care of the patient after discharge from a </w:t>
      </w:r>
      <w:r w:rsidR="002E741B">
        <w:t>HCMC</w:t>
      </w:r>
      <w:r>
        <w:t xml:space="preserve"> hospital, physician office or other clinical location.</w:t>
      </w:r>
    </w:p>
    <w:p w:rsidR="002B771B" w:rsidRPr="00F742ED" w:rsidRDefault="005A193C" w:rsidP="0063768C">
      <w:pPr>
        <w:jc w:val="left"/>
        <w:rPr>
          <w:sz w:val="20"/>
          <w:szCs w:val="20"/>
        </w:rPr>
      </w:pPr>
      <w:r w:rsidRPr="00F742ED">
        <w:rPr>
          <w:b/>
          <w:sz w:val="20"/>
          <w:szCs w:val="20"/>
        </w:rPr>
        <w:t>Eligible Health Care Services</w:t>
      </w:r>
      <w:r w:rsidRPr="00F742ED">
        <w:rPr>
          <w:sz w:val="20"/>
          <w:szCs w:val="20"/>
        </w:rPr>
        <w:t xml:space="preserve">: Services which are emergent and other medically necessary care. </w:t>
      </w:r>
    </w:p>
    <w:p w:rsidR="002B771B" w:rsidRPr="00F742ED" w:rsidRDefault="005A193C" w:rsidP="002E741B">
      <w:pPr>
        <w:jc w:val="both"/>
        <w:rPr>
          <w:sz w:val="20"/>
          <w:szCs w:val="20"/>
        </w:rPr>
      </w:pPr>
      <w:r w:rsidRPr="00F742ED">
        <w:rPr>
          <w:sz w:val="20"/>
          <w:szCs w:val="20"/>
          <w:u w:val="single"/>
        </w:rPr>
        <w:t>Eligible Health Care Services exclude</w:t>
      </w:r>
      <w:r w:rsidRPr="00F742ED">
        <w:rPr>
          <w:sz w:val="20"/>
          <w:szCs w:val="20"/>
        </w:rPr>
        <w:t>:</w:t>
      </w:r>
    </w:p>
    <w:p w:rsidR="005A193C" w:rsidRPr="00F742ED" w:rsidRDefault="005A193C" w:rsidP="0063768C">
      <w:pPr>
        <w:jc w:val="left"/>
        <w:rPr>
          <w:sz w:val="20"/>
          <w:szCs w:val="20"/>
        </w:rPr>
      </w:pPr>
      <w:r w:rsidRPr="00F742ED">
        <w:rPr>
          <w:sz w:val="20"/>
          <w:szCs w:val="20"/>
        </w:rPr>
        <w:sym w:font="Symbol" w:char="F0B7"/>
      </w:r>
      <w:r w:rsidRPr="00F742ED">
        <w:rPr>
          <w:sz w:val="20"/>
          <w:szCs w:val="20"/>
        </w:rPr>
        <w:t xml:space="preserve"> Charges disallowed through utilization reviews or denials </w:t>
      </w:r>
      <w:r w:rsidRPr="00F742ED">
        <w:rPr>
          <w:sz w:val="20"/>
          <w:szCs w:val="20"/>
        </w:rPr>
        <w:sym w:font="Symbol" w:char="F0B7"/>
      </w:r>
      <w:r w:rsidRPr="00F742ED">
        <w:rPr>
          <w:sz w:val="20"/>
          <w:szCs w:val="20"/>
        </w:rPr>
        <w:t xml:space="preserve"> Any contractual allowances </w:t>
      </w:r>
      <w:r w:rsidRPr="00F742ED">
        <w:rPr>
          <w:sz w:val="20"/>
          <w:szCs w:val="20"/>
        </w:rPr>
        <w:sym w:font="Symbol" w:char="F0B7"/>
      </w:r>
      <w:r w:rsidRPr="00F742ED">
        <w:rPr>
          <w:sz w:val="20"/>
          <w:szCs w:val="20"/>
        </w:rPr>
        <w:t xml:space="preserve"> Cosmetic services or elective services that are not medically necessary </w:t>
      </w:r>
      <w:r w:rsidRPr="00F742ED">
        <w:rPr>
          <w:sz w:val="20"/>
          <w:szCs w:val="20"/>
        </w:rPr>
        <w:sym w:font="Symbol" w:char="F0B7"/>
      </w:r>
      <w:r w:rsidRPr="00F742ED">
        <w:rPr>
          <w:sz w:val="20"/>
          <w:szCs w:val="20"/>
        </w:rPr>
        <w:t xml:space="preserve"> Write-offs of amount due from third party payers </w:t>
      </w:r>
      <w:r w:rsidRPr="00F742ED">
        <w:rPr>
          <w:sz w:val="20"/>
          <w:szCs w:val="20"/>
        </w:rPr>
        <w:sym w:font="Symbol" w:char="F0B7"/>
      </w:r>
      <w:r w:rsidRPr="00F742ED">
        <w:rPr>
          <w:sz w:val="20"/>
          <w:szCs w:val="20"/>
        </w:rPr>
        <w:t xml:space="preserve"> Shortfall between reimbursement from government programs for the uninsured and the cost of services provided </w:t>
      </w:r>
      <w:r w:rsidRPr="00F742ED">
        <w:rPr>
          <w:sz w:val="20"/>
          <w:szCs w:val="20"/>
        </w:rPr>
        <w:sym w:font="Symbol" w:char="F0B7"/>
      </w:r>
      <w:r w:rsidRPr="00F742ED">
        <w:rPr>
          <w:sz w:val="20"/>
          <w:szCs w:val="20"/>
        </w:rPr>
        <w:t xml:space="preserve"> Write-offs of patients' balances when there is not an indication th</w:t>
      </w:r>
      <w:r w:rsidR="002B771B" w:rsidRPr="00F742ED">
        <w:rPr>
          <w:sz w:val="20"/>
          <w:szCs w:val="20"/>
        </w:rPr>
        <w:t>at the patient is unable to pay.</w:t>
      </w:r>
    </w:p>
    <w:p w:rsidR="002B771B" w:rsidRPr="00F742ED" w:rsidRDefault="002B771B" w:rsidP="0063768C">
      <w:pPr>
        <w:jc w:val="left"/>
        <w:rPr>
          <w:sz w:val="20"/>
          <w:szCs w:val="20"/>
        </w:rPr>
      </w:pPr>
      <w:r w:rsidRPr="00F742ED">
        <w:rPr>
          <w:b/>
          <w:sz w:val="20"/>
          <w:szCs w:val="20"/>
        </w:rPr>
        <w:t>Estimated Patient Liability:</w:t>
      </w:r>
      <w:r w:rsidRPr="00F742ED">
        <w:rPr>
          <w:sz w:val="20"/>
          <w:szCs w:val="20"/>
        </w:rPr>
        <w:t xml:space="preserve"> The estimated patient financial responsibility that is due to HCMC for professional and technical charges for health care services the patient received. This amount is determined in compliance with the patient’s insurance benefits for the specific scheduled service and includes deductibles, co-payments, co-insurance, and non-covered services. </w:t>
      </w:r>
    </w:p>
    <w:p w:rsidR="002B771B" w:rsidRPr="00F742ED" w:rsidRDefault="002B771B" w:rsidP="0063768C">
      <w:pPr>
        <w:jc w:val="left"/>
        <w:rPr>
          <w:sz w:val="20"/>
          <w:szCs w:val="20"/>
        </w:rPr>
      </w:pPr>
      <w:r w:rsidRPr="00F742ED">
        <w:rPr>
          <w:b/>
          <w:sz w:val="20"/>
          <w:szCs w:val="20"/>
        </w:rPr>
        <w:t>Extraordinary Collections Actions:</w:t>
      </w:r>
      <w:r w:rsidRPr="00F742ED">
        <w:rPr>
          <w:sz w:val="20"/>
          <w:szCs w:val="20"/>
        </w:rPr>
        <w:t xml:space="preserve"> Actions which require a legal or judicial process, and/or reporting adverse information to credit agencies or bureaus. HCMC will determine financial assistance eligibility prior to taking any extraordinary collection action. Written notice must be provided at least 30 days in advance of initiating specific ECAs and meet informational requirements. As defined under IRS Codes Section 501(r), such actions that require legal or judicial process include: </w:t>
      </w:r>
      <w:r w:rsidRPr="00F742ED">
        <w:rPr>
          <w:sz w:val="20"/>
          <w:szCs w:val="20"/>
        </w:rPr>
        <w:sym w:font="Symbol" w:char="F0B7"/>
      </w:r>
      <w:r w:rsidRPr="00F742ED">
        <w:rPr>
          <w:sz w:val="20"/>
          <w:szCs w:val="20"/>
        </w:rPr>
        <w:t xml:space="preserve"> A lien </w:t>
      </w:r>
      <w:r w:rsidRPr="00F742ED">
        <w:rPr>
          <w:sz w:val="20"/>
          <w:szCs w:val="20"/>
        </w:rPr>
        <w:sym w:font="Symbol" w:char="F0B7"/>
      </w:r>
      <w:r w:rsidRPr="00F742ED">
        <w:rPr>
          <w:sz w:val="20"/>
          <w:szCs w:val="20"/>
        </w:rPr>
        <w:t xml:space="preserve"> Foreclosure on real property </w:t>
      </w:r>
      <w:r w:rsidRPr="00F742ED">
        <w:rPr>
          <w:sz w:val="20"/>
          <w:szCs w:val="20"/>
        </w:rPr>
        <w:sym w:font="Symbol" w:char="F0B7"/>
      </w:r>
      <w:r w:rsidRPr="00F742ED">
        <w:rPr>
          <w:sz w:val="20"/>
          <w:szCs w:val="20"/>
        </w:rPr>
        <w:t xml:space="preserve"> Attachment or seizure of a bank account or other personal property </w:t>
      </w:r>
      <w:r w:rsidRPr="00F742ED">
        <w:rPr>
          <w:sz w:val="20"/>
          <w:szCs w:val="20"/>
        </w:rPr>
        <w:sym w:font="Symbol" w:char="F0B7"/>
      </w:r>
      <w:r w:rsidRPr="00F742ED">
        <w:rPr>
          <w:sz w:val="20"/>
          <w:szCs w:val="20"/>
        </w:rPr>
        <w:t xml:space="preserve"> Commencement of a civil action against an individual </w:t>
      </w:r>
      <w:r w:rsidRPr="00F742ED">
        <w:rPr>
          <w:sz w:val="20"/>
          <w:szCs w:val="20"/>
        </w:rPr>
        <w:sym w:font="Symbol" w:char="F0B7"/>
      </w:r>
      <w:r w:rsidRPr="00F742ED">
        <w:rPr>
          <w:sz w:val="20"/>
          <w:szCs w:val="20"/>
        </w:rPr>
        <w:t xml:space="preserve"> Actions that cause an individual’s arrest </w:t>
      </w:r>
      <w:r w:rsidRPr="00F742ED">
        <w:rPr>
          <w:sz w:val="20"/>
          <w:szCs w:val="20"/>
        </w:rPr>
        <w:sym w:font="Symbol" w:char="F0B7"/>
      </w:r>
      <w:r w:rsidRPr="00F742ED">
        <w:rPr>
          <w:sz w:val="20"/>
          <w:szCs w:val="20"/>
        </w:rPr>
        <w:t xml:space="preserve"> Actions that cause an individual to be subject to body attachment </w:t>
      </w:r>
      <w:r w:rsidRPr="00F742ED">
        <w:rPr>
          <w:sz w:val="20"/>
          <w:szCs w:val="20"/>
        </w:rPr>
        <w:sym w:font="Symbol" w:char="F0B7"/>
      </w:r>
      <w:r w:rsidRPr="00F742ED">
        <w:rPr>
          <w:sz w:val="20"/>
          <w:szCs w:val="20"/>
        </w:rPr>
        <w:t xml:space="preserve"> Wage garnishment</w:t>
      </w:r>
    </w:p>
    <w:p w:rsidR="007D44E7" w:rsidRDefault="002B771B" w:rsidP="0063768C">
      <w:pPr>
        <w:jc w:val="left"/>
        <w:rPr>
          <w:sz w:val="20"/>
          <w:szCs w:val="20"/>
        </w:rPr>
      </w:pPr>
      <w:r w:rsidRPr="00F742ED">
        <w:rPr>
          <w:b/>
          <w:sz w:val="20"/>
          <w:szCs w:val="20"/>
        </w:rPr>
        <w:t>Family/Household</w:t>
      </w:r>
      <w:r w:rsidRPr="00F742ED">
        <w:rPr>
          <w:sz w:val="20"/>
          <w:szCs w:val="20"/>
        </w:rPr>
        <w:t>: Includes the patient, patient’s spouse, minor children/dependents</w:t>
      </w:r>
      <w:r w:rsidR="008F4CC5" w:rsidRPr="00F742ED">
        <w:rPr>
          <w:sz w:val="20"/>
          <w:szCs w:val="20"/>
        </w:rPr>
        <w:t>, any persons applicable to tax filing regulations.</w:t>
      </w:r>
    </w:p>
    <w:p w:rsidR="00F742ED" w:rsidRDefault="008F4CC5" w:rsidP="0063768C">
      <w:pPr>
        <w:jc w:val="left"/>
        <w:rPr>
          <w:sz w:val="20"/>
          <w:szCs w:val="20"/>
        </w:rPr>
      </w:pPr>
      <w:r w:rsidRPr="00F742ED">
        <w:rPr>
          <w:b/>
          <w:sz w:val="20"/>
          <w:szCs w:val="20"/>
        </w:rPr>
        <w:lastRenderedPageBreak/>
        <w:t>Federal Poverty Guidelines (FPG):</w:t>
      </w:r>
      <w:r w:rsidRPr="00F742ED">
        <w:rPr>
          <w:sz w:val="20"/>
          <w:szCs w:val="20"/>
        </w:rPr>
        <w:t xml:space="preserve"> Federal Poverty Guidelines published annually by the U.S. Department of Health and Human Services and in effect at the date(s) of service for which financial assistance may be available.</w:t>
      </w:r>
    </w:p>
    <w:p w:rsidR="00F742ED" w:rsidRPr="00F742ED" w:rsidRDefault="00F742ED" w:rsidP="00F742ED">
      <w:pPr>
        <w:jc w:val="left"/>
        <w:rPr>
          <w:sz w:val="20"/>
          <w:szCs w:val="20"/>
        </w:rPr>
      </w:pPr>
      <w:r w:rsidRPr="00F742ED">
        <w:rPr>
          <w:b/>
          <w:sz w:val="20"/>
          <w:szCs w:val="20"/>
        </w:rPr>
        <w:t>Financial Assistance or Financial Assistance Discounts</w:t>
      </w:r>
      <w:r w:rsidRPr="00F742ED">
        <w:rPr>
          <w:sz w:val="20"/>
          <w:szCs w:val="20"/>
        </w:rPr>
        <w:t xml:space="preserve">: Discounts or elimination of payment for health care services provided to eligible patients with documented and verified financial need. </w:t>
      </w:r>
    </w:p>
    <w:p w:rsidR="008F4CC5" w:rsidRPr="00F742ED" w:rsidRDefault="008F4CC5" w:rsidP="0063768C">
      <w:pPr>
        <w:jc w:val="left"/>
        <w:rPr>
          <w:sz w:val="20"/>
          <w:szCs w:val="20"/>
        </w:rPr>
      </w:pPr>
      <w:r w:rsidRPr="00F742ED">
        <w:rPr>
          <w:b/>
          <w:sz w:val="20"/>
          <w:szCs w:val="20"/>
        </w:rPr>
        <w:t>Look-Back Method:</w:t>
      </w:r>
      <w:r w:rsidRPr="00F742ED">
        <w:rPr>
          <w:sz w:val="20"/>
          <w:szCs w:val="20"/>
        </w:rPr>
        <w:t xml:space="preserve"> The methodology specified by IRS Codes Section 501(r) and selected by HCMC to determine AGB which uses past payments from Medicare or a combination of Medicare and commercial insurer payments. </w:t>
      </w:r>
    </w:p>
    <w:p w:rsidR="008F4CC5" w:rsidRPr="00F742ED" w:rsidRDefault="008F4CC5" w:rsidP="0063768C">
      <w:pPr>
        <w:jc w:val="left"/>
        <w:rPr>
          <w:sz w:val="20"/>
          <w:szCs w:val="20"/>
        </w:rPr>
      </w:pPr>
      <w:r w:rsidRPr="00F742ED">
        <w:rPr>
          <w:b/>
          <w:sz w:val="20"/>
          <w:szCs w:val="20"/>
        </w:rPr>
        <w:t>Private Pay:</w:t>
      </w:r>
      <w:r w:rsidRPr="00F742ED">
        <w:rPr>
          <w:sz w:val="20"/>
          <w:szCs w:val="20"/>
        </w:rPr>
        <w:t xml:space="preserve"> Patient identified as having no insurance coverage or opting out of their insurance coverage for specific services/events.</w:t>
      </w:r>
    </w:p>
    <w:p w:rsidR="002E741B" w:rsidRDefault="008F4CC5" w:rsidP="0063768C">
      <w:pPr>
        <w:jc w:val="left"/>
        <w:rPr>
          <w:sz w:val="20"/>
          <w:szCs w:val="20"/>
        </w:rPr>
      </w:pPr>
      <w:r w:rsidRPr="00F742ED">
        <w:rPr>
          <w:b/>
          <w:sz w:val="20"/>
          <w:szCs w:val="20"/>
        </w:rPr>
        <w:t>Presumptive Eligibility:</w:t>
      </w:r>
      <w:r w:rsidRPr="00F742ED">
        <w:rPr>
          <w:sz w:val="20"/>
          <w:szCs w:val="20"/>
        </w:rPr>
        <w:t xml:space="preserve"> A patient’s eligibility for HCMC financial assistance determined by criteria demonstrating financial need other than information provided by the patient’s family. Additional information received after qualifying for presumptive eligibility will not change the determination. </w:t>
      </w:r>
    </w:p>
    <w:p w:rsidR="008F4CC5" w:rsidRPr="00F742ED" w:rsidRDefault="008F4CC5" w:rsidP="0063768C">
      <w:pPr>
        <w:jc w:val="left"/>
        <w:rPr>
          <w:sz w:val="20"/>
          <w:szCs w:val="20"/>
        </w:rPr>
      </w:pPr>
      <w:proofErr w:type="gramStart"/>
      <w:r w:rsidRPr="00F742ED">
        <w:rPr>
          <w:b/>
          <w:sz w:val="20"/>
          <w:szCs w:val="20"/>
        </w:rPr>
        <w:t>Screening Process</w:t>
      </w:r>
      <w:r w:rsidRPr="00F742ED">
        <w:rPr>
          <w:sz w:val="20"/>
          <w:szCs w:val="20"/>
        </w:rPr>
        <w:t>:  A process to determine if a patient qualifies for Financial Assistance that does not involve completing a financial assistance application.</w:t>
      </w:r>
      <w:proofErr w:type="gramEnd"/>
      <w:r w:rsidRPr="00F742ED">
        <w:rPr>
          <w:sz w:val="20"/>
          <w:szCs w:val="20"/>
        </w:rPr>
        <w:t xml:space="preserve"> The screening process may be in person or on the telephone and utilizes a Third Party Vendor. </w:t>
      </w:r>
    </w:p>
    <w:p w:rsidR="008F4CC5" w:rsidRPr="00F742ED" w:rsidRDefault="008F4CC5" w:rsidP="0063768C">
      <w:pPr>
        <w:jc w:val="left"/>
        <w:rPr>
          <w:sz w:val="20"/>
          <w:szCs w:val="20"/>
        </w:rPr>
      </w:pPr>
      <w:r w:rsidRPr="00F742ED">
        <w:rPr>
          <w:b/>
          <w:sz w:val="20"/>
          <w:szCs w:val="20"/>
        </w:rPr>
        <w:t>Underinsured</w:t>
      </w:r>
      <w:r w:rsidRPr="00F742ED">
        <w:rPr>
          <w:sz w:val="20"/>
          <w:szCs w:val="20"/>
        </w:rPr>
        <w:t xml:space="preserve">: Insured patients who receive Eligible Health Care Services that are determined to be non-covered services or have limited benefit coverage by the insurance provider. </w:t>
      </w:r>
    </w:p>
    <w:p w:rsidR="008F4CC5" w:rsidRPr="00F742ED" w:rsidRDefault="008F4CC5" w:rsidP="0063768C">
      <w:pPr>
        <w:jc w:val="left"/>
        <w:rPr>
          <w:b/>
          <w:sz w:val="20"/>
          <w:szCs w:val="20"/>
          <w:u w:val="single"/>
        </w:rPr>
      </w:pPr>
      <w:r w:rsidRPr="00F742ED">
        <w:rPr>
          <w:b/>
          <w:sz w:val="20"/>
          <w:szCs w:val="20"/>
        </w:rPr>
        <w:t>Uninsured Discount:</w:t>
      </w:r>
      <w:r w:rsidRPr="00F742ED">
        <w:rPr>
          <w:sz w:val="20"/>
          <w:szCs w:val="20"/>
        </w:rPr>
        <w:t xml:space="preserve"> A discount on charges for medical services for patients identified as having no insurance coverage. The Uninsured Discount, as documented in the </w:t>
      </w:r>
      <w:r w:rsidRPr="005B7148">
        <w:rPr>
          <w:sz w:val="20"/>
          <w:szCs w:val="20"/>
        </w:rPr>
        <w:t xml:space="preserve">HCMC </w:t>
      </w:r>
      <w:r w:rsidR="00D202ED" w:rsidRPr="005B7148">
        <w:rPr>
          <w:sz w:val="20"/>
          <w:szCs w:val="20"/>
        </w:rPr>
        <w:t xml:space="preserve">Patient </w:t>
      </w:r>
      <w:r w:rsidRPr="005B7148">
        <w:rPr>
          <w:sz w:val="20"/>
          <w:szCs w:val="20"/>
        </w:rPr>
        <w:t>Discount Policy</w:t>
      </w:r>
      <w:r w:rsidRPr="00F742ED">
        <w:rPr>
          <w:sz w:val="20"/>
          <w:szCs w:val="20"/>
        </w:rPr>
        <w:t>, is determined based upon the look-back method by determining the average discount provided by HCMC hospitals to Medicare and all other insurers.</w:t>
      </w:r>
    </w:p>
    <w:p w:rsidR="00B62F88" w:rsidRPr="00F742ED" w:rsidRDefault="00B62F88" w:rsidP="0063768C">
      <w:pPr>
        <w:jc w:val="left"/>
        <w:rPr>
          <w:b/>
          <w:sz w:val="20"/>
          <w:szCs w:val="20"/>
          <w:u w:val="single"/>
        </w:rPr>
      </w:pPr>
    </w:p>
    <w:p w:rsidR="00946737" w:rsidRPr="00F742ED" w:rsidRDefault="00946737" w:rsidP="0063768C">
      <w:pPr>
        <w:jc w:val="left"/>
        <w:rPr>
          <w:b/>
          <w:sz w:val="20"/>
          <w:szCs w:val="20"/>
          <w:u w:val="single"/>
        </w:rPr>
      </w:pPr>
      <w:r w:rsidRPr="00F742ED">
        <w:rPr>
          <w:b/>
          <w:sz w:val="20"/>
          <w:szCs w:val="20"/>
          <w:u w:val="single"/>
        </w:rPr>
        <w:t>POLICY:</w:t>
      </w:r>
    </w:p>
    <w:p w:rsidR="00B62F88" w:rsidRPr="00F742ED" w:rsidRDefault="00B62F88" w:rsidP="00B62F88">
      <w:pPr>
        <w:pStyle w:val="ListParagraph"/>
        <w:numPr>
          <w:ilvl w:val="0"/>
          <w:numId w:val="2"/>
        </w:numPr>
        <w:jc w:val="left"/>
        <w:rPr>
          <w:sz w:val="20"/>
          <w:szCs w:val="20"/>
        </w:rPr>
      </w:pPr>
      <w:r w:rsidRPr="00F742ED">
        <w:rPr>
          <w:sz w:val="20"/>
          <w:szCs w:val="20"/>
        </w:rPr>
        <w:t xml:space="preserve">Introduction </w:t>
      </w:r>
    </w:p>
    <w:p w:rsidR="00B62F88" w:rsidRPr="00F742ED" w:rsidRDefault="00B62F88" w:rsidP="00B62F88">
      <w:pPr>
        <w:pStyle w:val="ListParagraph"/>
        <w:numPr>
          <w:ilvl w:val="0"/>
          <w:numId w:val="2"/>
        </w:numPr>
        <w:jc w:val="left"/>
        <w:rPr>
          <w:b/>
          <w:sz w:val="20"/>
          <w:szCs w:val="20"/>
          <w:u w:val="single"/>
        </w:rPr>
      </w:pPr>
      <w:r w:rsidRPr="00F742ED">
        <w:rPr>
          <w:sz w:val="20"/>
          <w:szCs w:val="20"/>
        </w:rPr>
        <w:t xml:space="preserve">Eligibility Criteria </w:t>
      </w:r>
    </w:p>
    <w:p w:rsidR="00B62F88" w:rsidRPr="00F742ED" w:rsidRDefault="00B62F88" w:rsidP="00B62F88">
      <w:pPr>
        <w:pStyle w:val="ListParagraph"/>
        <w:numPr>
          <w:ilvl w:val="0"/>
          <w:numId w:val="2"/>
        </w:numPr>
        <w:jc w:val="left"/>
        <w:rPr>
          <w:b/>
          <w:sz w:val="20"/>
          <w:szCs w:val="20"/>
          <w:u w:val="single"/>
        </w:rPr>
      </w:pPr>
      <w:r w:rsidRPr="00F742ED">
        <w:rPr>
          <w:sz w:val="20"/>
          <w:szCs w:val="20"/>
        </w:rPr>
        <w:t xml:space="preserve">Basis for Calculating Amounts Charged to Patients </w:t>
      </w:r>
    </w:p>
    <w:p w:rsidR="00B62F88" w:rsidRPr="00F742ED" w:rsidRDefault="00B62F88" w:rsidP="00B62F88">
      <w:pPr>
        <w:pStyle w:val="ListParagraph"/>
        <w:numPr>
          <w:ilvl w:val="0"/>
          <w:numId w:val="2"/>
        </w:numPr>
        <w:jc w:val="left"/>
        <w:rPr>
          <w:b/>
          <w:sz w:val="20"/>
          <w:szCs w:val="20"/>
          <w:u w:val="single"/>
        </w:rPr>
      </w:pPr>
      <w:r w:rsidRPr="00F742ED">
        <w:rPr>
          <w:sz w:val="20"/>
          <w:szCs w:val="20"/>
        </w:rPr>
        <w:t xml:space="preserve">Method for Applying for Financial Assistance </w:t>
      </w:r>
    </w:p>
    <w:p w:rsidR="00B62F88" w:rsidRPr="00F742ED" w:rsidRDefault="00B62F88" w:rsidP="00B62F88">
      <w:pPr>
        <w:pStyle w:val="ListParagraph"/>
        <w:numPr>
          <w:ilvl w:val="0"/>
          <w:numId w:val="2"/>
        </w:numPr>
        <w:jc w:val="left"/>
        <w:rPr>
          <w:b/>
          <w:sz w:val="20"/>
          <w:szCs w:val="20"/>
          <w:u w:val="single"/>
        </w:rPr>
      </w:pPr>
      <w:r w:rsidRPr="00F742ED">
        <w:rPr>
          <w:sz w:val="20"/>
          <w:szCs w:val="20"/>
        </w:rPr>
        <w:t xml:space="preserve">Actions that may be taken in the event of nonpayment </w:t>
      </w:r>
    </w:p>
    <w:p w:rsidR="00F742ED" w:rsidRPr="00F742ED" w:rsidRDefault="00B62F88" w:rsidP="00B62F88">
      <w:pPr>
        <w:pStyle w:val="ListParagraph"/>
        <w:numPr>
          <w:ilvl w:val="0"/>
          <w:numId w:val="2"/>
        </w:numPr>
        <w:jc w:val="left"/>
        <w:rPr>
          <w:b/>
          <w:sz w:val="20"/>
          <w:szCs w:val="20"/>
          <w:u w:val="single"/>
        </w:rPr>
      </w:pPr>
      <w:r w:rsidRPr="00F742ED">
        <w:rPr>
          <w:sz w:val="20"/>
          <w:szCs w:val="20"/>
        </w:rPr>
        <w:t xml:space="preserve">Eligibility information obtained from other sources </w:t>
      </w:r>
    </w:p>
    <w:p w:rsidR="00B62F88" w:rsidRPr="00F742ED" w:rsidRDefault="00B62F88" w:rsidP="00B62F88">
      <w:pPr>
        <w:pStyle w:val="ListParagraph"/>
        <w:numPr>
          <w:ilvl w:val="0"/>
          <w:numId w:val="2"/>
        </w:numPr>
        <w:jc w:val="left"/>
        <w:rPr>
          <w:b/>
          <w:sz w:val="20"/>
          <w:szCs w:val="20"/>
          <w:u w:val="single"/>
        </w:rPr>
      </w:pPr>
      <w:r w:rsidRPr="00F742ED">
        <w:rPr>
          <w:sz w:val="20"/>
          <w:szCs w:val="20"/>
        </w:rPr>
        <w:t>Other Information</w:t>
      </w:r>
    </w:p>
    <w:p w:rsidR="00F742ED" w:rsidRPr="00F742ED" w:rsidRDefault="00F742ED" w:rsidP="00B62F88">
      <w:pPr>
        <w:pStyle w:val="ListParagraph"/>
        <w:numPr>
          <w:ilvl w:val="0"/>
          <w:numId w:val="2"/>
        </w:numPr>
        <w:jc w:val="left"/>
        <w:rPr>
          <w:b/>
          <w:sz w:val="20"/>
          <w:szCs w:val="20"/>
          <w:u w:val="single"/>
        </w:rPr>
      </w:pPr>
      <w:r>
        <w:rPr>
          <w:sz w:val="20"/>
          <w:szCs w:val="20"/>
        </w:rPr>
        <w:t>Discharge Medications</w:t>
      </w:r>
    </w:p>
    <w:p w:rsidR="00B62F88" w:rsidRPr="00F742ED" w:rsidRDefault="00B62F88" w:rsidP="00B62F88">
      <w:pPr>
        <w:jc w:val="left"/>
        <w:rPr>
          <w:b/>
          <w:sz w:val="20"/>
          <w:szCs w:val="20"/>
          <w:u w:val="single"/>
        </w:rPr>
      </w:pPr>
    </w:p>
    <w:p w:rsidR="00B62F88" w:rsidRPr="00F742ED" w:rsidRDefault="00B62F88" w:rsidP="00B62F88">
      <w:pPr>
        <w:ind w:left="360"/>
        <w:jc w:val="left"/>
        <w:rPr>
          <w:sz w:val="20"/>
          <w:szCs w:val="20"/>
        </w:rPr>
      </w:pPr>
      <w:r w:rsidRPr="00F742ED">
        <w:rPr>
          <w:b/>
          <w:sz w:val="20"/>
          <w:szCs w:val="20"/>
        </w:rPr>
        <w:t>I. Introduction</w:t>
      </w:r>
      <w:r w:rsidR="005B7148">
        <w:rPr>
          <w:sz w:val="20"/>
          <w:szCs w:val="20"/>
        </w:rPr>
        <w:t xml:space="preserve">:  </w:t>
      </w:r>
      <w:r w:rsidRPr="00F742ED">
        <w:rPr>
          <w:sz w:val="20"/>
          <w:szCs w:val="20"/>
        </w:rPr>
        <w:t>HCMC is committed to providing high-quality healthcare services regardless of a patient’s ability to pay. Patients who demonstrate an inability to pay and who meet this policy’s financial criteria for qualification will be covered under this Financial Assistance Policy. Patients are informed of HCMC’s Financial Assistance Policy through the HCMC website</w:t>
      </w:r>
      <w:r w:rsidR="00BE02F2" w:rsidRPr="00F742ED">
        <w:rPr>
          <w:sz w:val="20"/>
          <w:szCs w:val="20"/>
        </w:rPr>
        <w:t xml:space="preserve"> </w:t>
      </w:r>
      <w:r w:rsidR="005B7148">
        <w:rPr>
          <w:sz w:val="20"/>
          <w:szCs w:val="20"/>
        </w:rPr>
        <w:t xml:space="preserve">at </w:t>
      </w:r>
      <w:r w:rsidR="00D202ED" w:rsidRPr="005B7148">
        <w:rPr>
          <w:sz w:val="20"/>
          <w:szCs w:val="20"/>
        </w:rPr>
        <w:t>https://www.hcmc-tn.org/patients-visitors/billing-insurance/</w:t>
      </w:r>
      <w:r w:rsidRPr="00F742ED">
        <w:rPr>
          <w:sz w:val="20"/>
          <w:szCs w:val="20"/>
        </w:rPr>
        <w:t xml:space="preserve">, Patient Access Representatives, Financial Counselors, Patient Financial Services Representatives, billing statements, signage, and brochures available in various hospital locations.  The website information is listed on all billing statements with a link to a plain language summary of this policy. For patients without internet access, this policy is available as disclosed via a phone call to </w:t>
      </w:r>
      <w:r w:rsidR="00BE02F2" w:rsidRPr="00F742ED">
        <w:rPr>
          <w:sz w:val="20"/>
          <w:szCs w:val="20"/>
        </w:rPr>
        <w:t>HCMC</w:t>
      </w:r>
      <w:r w:rsidRPr="00F742ED">
        <w:rPr>
          <w:sz w:val="20"/>
          <w:szCs w:val="20"/>
        </w:rPr>
        <w:t xml:space="preserve"> Patient Financial Services. These communications are available</w:t>
      </w:r>
      <w:r w:rsidR="00BE02F2" w:rsidRPr="00F742ED">
        <w:rPr>
          <w:sz w:val="20"/>
          <w:szCs w:val="20"/>
        </w:rPr>
        <w:t xml:space="preserve"> in English and Spanish</w:t>
      </w:r>
      <w:r w:rsidRPr="00F742ED">
        <w:rPr>
          <w:sz w:val="20"/>
          <w:szCs w:val="20"/>
        </w:rPr>
        <w:t>.</w:t>
      </w:r>
    </w:p>
    <w:p w:rsidR="00BE02F2" w:rsidRPr="00F742ED" w:rsidRDefault="00BE02F2" w:rsidP="00B62F88">
      <w:pPr>
        <w:ind w:left="360"/>
        <w:jc w:val="left"/>
        <w:rPr>
          <w:b/>
          <w:sz w:val="20"/>
          <w:szCs w:val="20"/>
          <w:u w:val="single"/>
        </w:rPr>
      </w:pPr>
    </w:p>
    <w:p w:rsidR="00BE02F2" w:rsidRPr="00F742ED" w:rsidRDefault="00BE02F2" w:rsidP="00B62F88">
      <w:pPr>
        <w:ind w:left="360"/>
        <w:jc w:val="left"/>
        <w:rPr>
          <w:sz w:val="20"/>
          <w:szCs w:val="20"/>
        </w:rPr>
      </w:pPr>
      <w:r w:rsidRPr="00F742ED">
        <w:rPr>
          <w:b/>
          <w:sz w:val="20"/>
          <w:szCs w:val="20"/>
        </w:rPr>
        <w:t>II. Eligibility Criteria</w:t>
      </w:r>
      <w:r w:rsidR="005B7148">
        <w:rPr>
          <w:sz w:val="20"/>
          <w:szCs w:val="20"/>
        </w:rPr>
        <w:t xml:space="preserve">:  </w:t>
      </w:r>
      <w:r w:rsidRPr="00F742ED">
        <w:rPr>
          <w:sz w:val="20"/>
          <w:szCs w:val="20"/>
        </w:rPr>
        <w:t>The qualification for Financial Assistance will be based on the annual adjusted gross income of the patient (or patient’s household if filing jointly) for the current or prior year. To meet the income requirements, the adjusted gross income of the patient (or the patient’s household) for the current or prior year may not exceed 2.5 times the Federal Poverty Guideline.</w:t>
      </w:r>
      <w:r w:rsidR="003240DE" w:rsidRPr="00F742ED">
        <w:rPr>
          <w:sz w:val="20"/>
          <w:szCs w:val="20"/>
        </w:rPr>
        <w:t xml:space="preserve">  </w:t>
      </w:r>
      <w:r w:rsidRPr="00F742ED">
        <w:rPr>
          <w:sz w:val="20"/>
          <w:szCs w:val="20"/>
        </w:rPr>
        <w:t xml:space="preserve"> </w:t>
      </w:r>
      <w:r w:rsidR="003240DE" w:rsidRPr="00F742ED">
        <w:rPr>
          <w:sz w:val="20"/>
          <w:szCs w:val="20"/>
        </w:rPr>
        <w:t xml:space="preserve">Discount amount is based on </w:t>
      </w:r>
      <w:r w:rsidRPr="00F742ED">
        <w:rPr>
          <w:sz w:val="20"/>
          <w:szCs w:val="20"/>
        </w:rPr>
        <w:t>a</w:t>
      </w:r>
      <w:r w:rsidR="003240DE" w:rsidRPr="00F742ED">
        <w:rPr>
          <w:sz w:val="20"/>
          <w:szCs w:val="20"/>
        </w:rPr>
        <w:t xml:space="preserve"> sliding scale </w:t>
      </w:r>
      <w:r w:rsidRPr="00F742ED">
        <w:rPr>
          <w:sz w:val="20"/>
          <w:szCs w:val="20"/>
        </w:rPr>
        <w:t>applied in percentage increments based upon income and family size.</w:t>
      </w:r>
      <w:r w:rsidR="003240DE" w:rsidRPr="00F742ED">
        <w:rPr>
          <w:sz w:val="20"/>
          <w:szCs w:val="20"/>
        </w:rPr>
        <w:t xml:space="preserve">  See income calculation table in Appendix</w:t>
      </w:r>
      <w:r w:rsidR="008667F7">
        <w:rPr>
          <w:sz w:val="20"/>
          <w:szCs w:val="20"/>
        </w:rPr>
        <w:t xml:space="preserve"> A</w:t>
      </w:r>
      <w:r w:rsidR="003240DE" w:rsidRPr="00F742ED">
        <w:rPr>
          <w:sz w:val="20"/>
          <w:szCs w:val="20"/>
        </w:rPr>
        <w:t>.</w:t>
      </w:r>
    </w:p>
    <w:p w:rsidR="004C3B77" w:rsidRPr="00F742ED" w:rsidRDefault="004C3B77" w:rsidP="00B62F88">
      <w:pPr>
        <w:ind w:left="360"/>
        <w:jc w:val="left"/>
        <w:rPr>
          <w:b/>
          <w:sz w:val="20"/>
          <w:szCs w:val="20"/>
          <w:u w:val="single"/>
        </w:rPr>
      </w:pPr>
    </w:p>
    <w:p w:rsidR="00946737" w:rsidRPr="00F742ED" w:rsidRDefault="004C3B77" w:rsidP="004C3B77">
      <w:pPr>
        <w:ind w:left="360"/>
        <w:jc w:val="left"/>
        <w:rPr>
          <w:sz w:val="20"/>
          <w:szCs w:val="20"/>
        </w:rPr>
      </w:pPr>
      <w:r w:rsidRPr="00F742ED">
        <w:rPr>
          <w:sz w:val="20"/>
          <w:szCs w:val="20"/>
        </w:rPr>
        <w:t xml:space="preserve">Patients will have one hundred twenty (120) days from the date the first “post discharge” billing statement to complete the Application or Screening Process before any Extraordinary Collection Actions are taken by HCMC. Even after ECA’s have begun, a patient may apply for financial assistance up to 240 days from the first post-discharge billing statement.  </w:t>
      </w:r>
    </w:p>
    <w:p w:rsidR="004C3B77" w:rsidRPr="00F742ED" w:rsidRDefault="004C3B77" w:rsidP="004C3B77">
      <w:pPr>
        <w:ind w:left="360"/>
        <w:jc w:val="left"/>
        <w:rPr>
          <w:sz w:val="20"/>
          <w:szCs w:val="20"/>
        </w:rPr>
      </w:pPr>
    </w:p>
    <w:p w:rsidR="004C3B77" w:rsidRDefault="004C3B77" w:rsidP="004C3B77">
      <w:pPr>
        <w:ind w:left="360"/>
        <w:jc w:val="left"/>
      </w:pPr>
      <w:r w:rsidRPr="00F742ED">
        <w:rPr>
          <w:b/>
          <w:sz w:val="20"/>
          <w:szCs w:val="20"/>
        </w:rPr>
        <w:t>III. Basis for Calculating Patient Charges</w:t>
      </w:r>
      <w:r w:rsidR="005B7148">
        <w:rPr>
          <w:sz w:val="20"/>
          <w:szCs w:val="20"/>
        </w:rPr>
        <w:t xml:space="preserve">:  </w:t>
      </w:r>
      <w:r w:rsidRPr="00F742ED">
        <w:rPr>
          <w:sz w:val="20"/>
          <w:szCs w:val="20"/>
        </w:rPr>
        <w:t xml:space="preserve">Amounts charged to patients by </w:t>
      </w:r>
      <w:r w:rsidR="00FE6DA7" w:rsidRPr="00F742ED">
        <w:rPr>
          <w:sz w:val="20"/>
          <w:szCs w:val="20"/>
        </w:rPr>
        <w:t>HCMC</w:t>
      </w:r>
      <w:r w:rsidRPr="00F742ED">
        <w:rPr>
          <w:sz w:val="20"/>
          <w:szCs w:val="20"/>
        </w:rPr>
        <w:t xml:space="preserve"> will be calculated in accordance with </w:t>
      </w:r>
      <w:r w:rsidR="00D202ED" w:rsidRPr="005B7148">
        <w:rPr>
          <w:sz w:val="20"/>
          <w:szCs w:val="20"/>
        </w:rPr>
        <w:t xml:space="preserve">HCMC </w:t>
      </w:r>
      <w:r w:rsidRPr="005B7148">
        <w:rPr>
          <w:sz w:val="20"/>
          <w:szCs w:val="20"/>
        </w:rPr>
        <w:t>Patient Discount Policy</w:t>
      </w:r>
      <w:r w:rsidRPr="00D202ED">
        <w:rPr>
          <w:sz w:val="20"/>
          <w:szCs w:val="20"/>
        </w:rPr>
        <w:t>.</w:t>
      </w:r>
      <w:r w:rsidRPr="00F742ED">
        <w:rPr>
          <w:sz w:val="20"/>
          <w:szCs w:val="20"/>
        </w:rPr>
        <w:t xml:space="preserve"> This policy outlines the use of the Look-Back</w:t>
      </w:r>
      <w:r>
        <w:t xml:space="preserve"> Method in determination of AGB and its effect on patient pricing.</w:t>
      </w:r>
    </w:p>
    <w:p w:rsidR="004C3B77" w:rsidRDefault="004C3B77" w:rsidP="004C3B77">
      <w:pPr>
        <w:ind w:left="360"/>
        <w:jc w:val="left"/>
        <w:rPr>
          <w:b/>
          <w:u w:val="single"/>
        </w:rPr>
      </w:pPr>
    </w:p>
    <w:p w:rsidR="00FE6DA7" w:rsidRPr="00F742ED" w:rsidRDefault="00FE6DA7" w:rsidP="00FE6DA7">
      <w:pPr>
        <w:pStyle w:val="NormalWeb"/>
        <w:shd w:val="clear" w:color="auto" w:fill="FFFFFF"/>
        <w:spacing w:before="0" w:beforeAutospacing="0" w:after="225" w:afterAutospacing="0"/>
        <w:ind w:left="360"/>
        <w:rPr>
          <w:rFonts w:asciiTheme="minorHAnsi" w:hAnsiTheme="minorHAnsi" w:cs="Arial"/>
          <w:sz w:val="20"/>
          <w:szCs w:val="20"/>
        </w:rPr>
      </w:pPr>
      <w:r w:rsidRPr="00F742ED">
        <w:rPr>
          <w:rFonts w:asciiTheme="minorHAnsi" w:hAnsiTheme="minorHAnsi"/>
          <w:b/>
          <w:sz w:val="20"/>
          <w:szCs w:val="20"/>
        </w:rPr>
        <w:t>IV. Method for Applying for Financial Assistance</w:t>
      </w:r>
      <w:r w:rsidR="005B7148">
        <w:rPr>
          <w:rFonts w:asciiTheme="minorHAnsi" w:hAnsiTheme="minorHAnsi"/>
          <w:sz w:val="20"/>
          <w:szCs w:val="20"/>
        </w:rPr>
        <w:t xml:space="preserve">:  </w:t>
      </w:r>
      <w:r w:rsidRPr="00F742ED">
        <w:rPr>
          <w:rFonts w:asciiTheme="minorHAnsi" w:hAnsiTheme="minorHAnsi"/>
          <w:sz w:val="20"/>
          <w:szCs w:val="20"/>
        </w:rPr>
        <w:t>Financial Assistance applications can be obtained at</w:t>
      </w:r>
      <w:r w:rsidR="00D202ED" w:rsidRPr="005B7148">
        <w:rPr>
          <w:rFonts w:asciiTheme="minorHAnsi" w:hAnsiTheme="minorHAnsi"/>
          <w:sz w:val="20"/>
          <w:szCs w:val="20"/>
        </w:rPr>
        <w:t>:</w:t>
      </w:r>
      <w:r w:rsidR="00D202ED" w:rsidRPr="00D202ED">
        <w:rPr>
          <w:rFonts w:asciiTheme="minorHAnsi" w:hAnsiTheme="minorHAnsi"/>
          <w:sz w:val="20"/>
          <w:szCs w:val="20"/>
          <w:u w:val="single"/>
        </w:rPr>
        <w:t xml:space="preserve"> </w:t>
      </w:r>
      <w:hyperlink r:id="rId9" w:history="1">
        <w:r w:rsidR="00D202ED" w:rsidRPr="005B7148">
          <w:rPr>
            <w:rStyle w:val="Hyperlink"/>
            <w:rFonts w:asciiTheme="minorHAnsi" w:hAnsiTheme="minorHAnsi"/>
            <w:sz w:val="20"/>
            <w:szCs w:val="20"/>
            <w:u w:val="none"/>
          </w:rPr>
          <w:t>https://www.hcmc-tn.org/patients-visitors/billing-insurance/</w:t>
        </w:r>
      </w:hyperlink>
      <w:r w:rsidRPr="00D202ED">
        <w:rPr>
          <w:rFonts w:asciiTheme="minorHAnsi" w:hAnsiTheme="minorHAnsi"/>
          <w:sz w:val="20"/>
          <w:szCs w:val="20"/>
        </w:rPr>
        <w:t>, by</w:t>
      </w:r>
      <w:r w:rsidRPr="00F742ED">
        <w:rPr>
          <w:rFonts w:asciiTheme="minorHAnsi" w:hAnsiTheme="minorHAnsi"/>
          <w:sz w:val="20"/>
          <w:szCs w:val="20"/>
        </w:rPr>
        <w:t xml:space="preserve"> calling HCMC Patient Financial Services at 731-644-8595, contacting any HCMC Patient Access locations, or by visiting the HCMC Patient Financial Services Department at 301 Tyson Avenue, Paris, TN, 38242. </w:t>
      </w:r>
      <w:r w:rsidRPr="00F742ED">
        <w:rPr>
          <w:rFonts w:asciiTheme="minorHAnsi" w:hAnsiTheme="minorHAnsi" w:cs="Arial"/>
          <w:sz w:val="20"/>
          <w:szCs w:val="20"/>
        </w:rPr>
        <w:t>To apply for financial assistance, a written application may not be needed.  However, there is a set of questions you will need to answer for us to determine if you are eligible for financial assistance.</w:t>
      </w:r>
    </w:p>
    <w:p w:rsidR="00FE6DA7" w:rsidRPr="00F742ED" w:rsidRDefault="00FE6DA7" w:rsidP="00B70079">
      <w:pPr>
        <w:pStyle w:val="NormalWeb"/>
        <w:shd w:val="clear" w:color="auto" w:fill="FFFFFF"/>
        <w:spacing w:before="0" w:beforeAutospacing="0" w:after="225" w:afterAutospacing="0"/>
        <w:ind w:left="360"/>
        <w:rPr>
          <w:rFonts w:asciiTheme="minorHAnsi" w:hAnsiTheme="minorHAnsi" w:cs="Arial"/>
          <w:sz w:val="20"/>
          <w:szCs w:val="20"/>
        </w:rPr>
      </w:pPr>
      <w:r w:rsidRPr="00F742ED">
        <w:rPr>
          <w:rFonts w:asciiTheme="minorHAnsi" w:hAnsiTheme="minorHAnsi" w:cs="Arial"/>
          <w:sz w:val="20"/>
          <w:szCs w:val="20"/>
        </w:rPr>
        <w:t xml:space="preserve">Should a completed application be required, it should be given to HCMC Patient Financial Services at 301 Tyson Avenue, First Floor, </w:t>
      </w:r>
      <w:proofErr w:type="gramStart"/>
      <w:r w:rsidRPr="00F742ED">
        <w:rPr>
          <w:rFonts w:asciiTheme="minorHAnsi" w:hAnsiTheme="minorHAnsi" w:cs="Arial"/>
          <w:sz w:val="20"/>
          <w:szCs w:val="20"/>
        </w:rPr>
        <w:t>Paris</w:t>
      </w:r>
      <w:proofErr w:type="gramEnd"/>
      <w:r w:rsidRPr="00F742ED">
        <w:rPr>
          <w:rFonts w:asciiTheme="minorHAnsi" w:hAnsiTheme="minorHAnsi" w:cs="Arial"/>
          <w:sz w:val="20"/>
          <w:szCs w:val="20"/>
        </w:rPr>
        <w:t>, TN, 38242.</w:t>
      </w:r>
      <w:r w:rsidR="00B70079">
        <w:rPr>
          <w:rFonts w:asciiTheme="minorHAnsi" w:hAnsiTheme="minorHAnsi" w:cs="Arial"/>
          <w:sz w:val="20"/>
          <w:szCs w:val="20"/>
        </w:rPr>
        <w:t xml:space="preserve">  </w:t>
      </w:r>
      <w:r w:rsidRPr="00F742ED">
        <w:rPr>
          <w:rFonts w:asciiTheme="minorHAnsi" w:hAnsiTheme="minorHAnsi" w:cs="Arial"/>
          <w:sz w:val="20"/>
          <w:szCs w:val="20"/>
        </w:rPr>
        <w:t>Please allow up to 30 days for application processing.</w:t>
      </w:r>
    </w:p>
    <w:p w:rsidR="00FE6DA7" w:rsidRPr="00F742ED" w:rsidRDefault="00EC2AED" w:rsidP="00687EDB">
      <w:pPr>
        <w:pStyle w:val="NormalWeb"/>
        <w:shd w:val="clear" w:color="auto" w:fill="FFFFFF"/>
        <w:spacing w:before="0" w:beforeAutospacing="0" w:after="225" w:afterAutospacing="0"/>
        <w:ind w:left="360"/>
        <w:rPr>
          <w:rFonts w:asciiTheme="minorHAnsi" w:hAnsiTheme="minorHAnsi"/>
          <w:sz w:val="20"/>
          <w:szCs w:val="20"/>
        </w:rPr>
      </w:pPr>
      <w:r>
        <w:rPr>
          <w:rFonts w:asciiTheme="minorHAnsi" w:hAnsiTheme="minorHAnsi"/>
          <w:b/>
          <w:sz w:val="20"/>
          <w:szCs w:val="20"/>
        </w:rPr>
        <w:t xml:space="preserve">V.  </w:t>
      </w:r>
      <w:r w:rsidR="00FE6DA7" w:rsidRPr="00F742ED">
        <w:rPr>
          <w:rFonts w:asciiTheme="minorHAnsi" w:hAnsiTheme="minorHAnsi"/>
          <w:b/>
          <w:sz w:val="20"/>
          <w:szCs w:val="20"/>
        </w:rPr>
        <w:t>Actions that</w:t>
      </w:r>
      <w:r>
        <w:rPr>
          <w:rFonts w:asciiTheme="minorHAnsi" w:hAnsiTheme="minorHAnsi"/>
          <w:b/>
          <w:sz w:val="20"/>
          <w:szCs w:val="20"/>
        </w:rPr>
        <w:t xml:space="preserve"> may be taken in the Event of N</w:t>
      </w:r>
      <w:r w:rsidR="00FE6DA7" w:rsidRPr="00F742ED">
        <w:rPr>
          <w:rFonts w:asciiTheme="minorHAnsi" w:hAnsiTheme="minorHAnsi"/>
          <w:b/>
          <w:sz w:val="20"/>
          <w:szCs w:val="20"/>
        </w:rPr>
        <w:t>onpayment</w:t>
      </w:r>
      <w:r w:rsidR="005B7148">
        <w:rPr>
          <w:rFonts w:asciiTheme="minorHAnsi" w:hAnsiTheme="minorHAnsi"/>
          <w:b/>
          <w:sz w:val="20"/>
          <w:szCs w:val="20"/>
        </w:rPr>
        <w:t xml:space="preserve">: </w:t>
      </w:r>
      <w:r w:rsidR="00687EDB" w:rsidRPr="00F742ED">
        <w:rPr>
          <w:rFonts w:asciiTheme="minorHAnsi" w:hAnsiTheme="minorHAnsi"/>
          <w:b/>
          <w:sz w:val="20"/>
          <w:szCs w:val="20"/>
        </w:rPr>
        <w:t xml:space="preserve"> </w:t>
      </w:r>
      <w:r w:rsidR="00687EDB" w:rsidRPr="00F742ED">
        <w:rPr>
          <w:rFonts w:asciiTheme="minorHAnsi" w:hAnsiTheme="minorHAnsi"/>
          <w:sz w:val="20"/>
          <w:szCs w:val="20"/>
        </w:rPr>
        <w:t>See the HCMC Patient Collection Policy</w:t>
      </w:r>
    </w:p>
    <w:p w:rsidR="00EC2AED" w:rsidRDefault="00687EDB" w:rsidP="00EC2AED">
      <w:pPr>
        <w:pStyle w:val="NormalWeb"/>
        <w:shd w:val="clear" w:color="auto" w:fill="FFFFFF"/>
        <w:spacing w:before="0" w:beforeAutospacing="0" w:after="225" w:afterAutospacing="0"/>
        <w:ind w:left="360"/>
        <w:rPr>
          <w:rFonts w:asciiTheme="minorHAnsi" w:hAnsiTheme="minorHAnsi"/>
          <w:b/>
          <w:sz w:val="20"/>
          <w:szCs w:val="20"/>
        </w:rPr>
      </w:pPr>
      <w:r w:rsidRPr="00F742ED">
        <w:rPr>
          <w:rFonts w:asciiTheme="minorHAnsi" w:hAnsiTheme="minorHAnsi"/>
          <w:b/>
          <w:sz w:val="20"/>
          <w:szCs w:val="20"/>
        </w:rPr>
        <w:t>VI. Eligibility Information Obtained from Other Sources</w:t>
      </w:r>
      <w:r w:rsidR="005B7148">
        <w:rPr>
          <w:rFonts w:asciiTheme="minorHAnsi" w:hAnsiTheme="minorHAnsi"/>
          <w:b/>
          <w:sz w:val="20"/>
          <w:szCs w:val="20"/>
        </w:rPr>
        <w:t xml:space="preserve">: </w:t>
      </w:r>
      <w:r w:rsidRPr="00F742ED">
        <w:rPr>
          <w:rFonts w:asciiTheme="minorHAnsi" w:hAnsiTheme="minorHAnsi"/>
          <w:sz w:val="20"/>
          <w:szCs w:val="20"/>
        </w:rPr>
        <w:t xml:space="preserve"> Patients that are unresponsive to inquiries by HCMC may be screened through a third party vendor for Financial Assistance eligibility prior or after placement with a collection agency. All third party vendors will comply with applicable regulatio</w:t>
      </w:r>
      <w:r w:rsidR="00EC2AED">
        <w:rPr>
          <w:rFonts w:asciiTheme="minorHAnsi" w:hAnsiTheme="minorHAnsi"/>
          <w:sz w:val="20"/>
          <w:szCs w:val="20"/>
        </w:rPr>
        <w:t>ns during the Screening Process.</w:t>
      </w:r>
    </w:p>
    <w:p w:rsidR="00EC2AED" w:rsidRDefault="00EC2AED" w:rsidP="00EC2AED">
      <w:pPr>
        <w:pStyle w:val="NormalWeb"/>
        <w:shd w:val="clear" w:color="auto" w:fill="FFFFFF"/>
        <w:spacing w:before="0" w:beforeAutospacing="0" w:after="225" w:afterAutospacing="0"/>
        <w:ind w:left="360"/>
        <w:rPr>
          <w:rFonts w:asciiTheme="minorHAnsi" w:hAnsiTheme="minorHAnsi"/>
          <w:sz w:val="20"/>
          <w:szCs w:val="20"/>
        </w:rPr>
      </w:pPr>
      <w:r>
        <w:rPr>
          <w:rFonts w:asciiTheme="minorHAnsi" w:hAnsiTheme="minorHAnsi"/>
          <w:b/>
          <w:sz w:val="20"/>
          <w:szCs w:val="20"/>
        </w:rPr>
        <w:t xml:space="preserve">VII. </w:t>
      </w:r>
      <w:r w:rsidR="00687EDB" w:rsidRPr="00EC2AED">
        <w:rPr>
          <w:rFonts w:asciiTheme="minorHAnsi" w:hAnsiTheme="minorHAnsi"/>
          <w:b/>
          <w:sz w:val="20"/>
          <w:szCs w:val="20"/>
        </w:rPr>
        <w:t>Other Information</w:t>
      </w:r>
      <w:r w:rsidR="00687EDB" w:rsidRPr="00EC2AED">
        <w:rPr>
          <w:rFonts w:asciiTheme="minorHAnsi" w:hAnsiTheme="minorHAnsi"/>
          <w:sz w:val="20"/>
          <w:szCs w:val="20"/>
        </w:rPr>
        <w:t xml:space="preserve"> Uninsu</w:t>
      </w:r>
      <w:r w:rsidR="00DC476F" w:rsidRPr="00EC2AED">
        <w:rPr>
          <w:rFonts w:asciiTheme="minorHAnsi" w:hAnsiTheme="minorHAnsi"/>
          <w:sz w:val="20"/>
          <w:szCs w:val="20"/>
        </w:rPr>
        <w:t>red patients will be provided a</w:t>
      </w:r>
      <w:r w:rsidR="00687EDB" w:rsidRPr="00EC2AED">
        <w:rPr>
          <w:rFonts w:asciiTheme="minorHAnsi" w:hAnsiTheme="minorHAnsi"/>
          <w:sz w:val="20"/>
          <w:szCs w:val="20"/>
        </w:rPr>
        <w:t xml:space="preserve"> Priva</w:t>
      </w:r>
      <w:r w:rsidRPr="00EC2AED">
        <w:rPr>
          <w:rFonts w:asciiTheme="minorHAnsi" w:hAnsiTheme="minorHAnsi"/>
          <w:sz w:val="20"/>
          <w:szCs w:val="20"/>
        </w:rPr>
        <w:t xml:space="preserve">te Pay discount as outlined in the </w:t>
      </w:r>
      <w:r w:rsidR="00D202ED" w:rsidRPr="00EC2AED">
        <w:rPr>
          <w:rFonts w:asciiTheme="minorHAnsi" w:hAnsiTheme="minorHAnsi"/>
          <w:sz w:val="20"/>
          <w:szCs w:val="20"/>
        </w:rPr>
        <w:t xml:space="preserve">HCMC </w:t>
      </w:r>
      <w:r w:rsidR="00687EDB" w:rsidRPr="00EC2AED">
        <w:rPr>
          <w:rFonts w:asciiTheme="minorHAnsi" w:hAnsiTheme="minorHAnsi"/>
          <w:sz w:val="20"/>
          <w:szCs w:val="20"/>
        </w:rPr>
        <w:t xml:space="preserve">Patient Discount Policy. This Uninsured Discount is given regardless of financial status. It may be ultimately reclassified as a Financial Assistance Discount if the patient subsequently meets the qualifications described in this policy. If a patient submits a complete Financial Assistance application and is determined to be eligible, </w:t>
      </w:r>
      <w:r w:rsidR="00C03EEC" w:rsidRPr="00EC2AED">
        <w:rPr>
          <w:rFonts w:asciiTheme="minorHAnsi" w:hAnsiTheme="minorHAnsi"/>
          <w:sz w:val="20"/>
          <w:szCs w:val="20"/>
        </w:rPr>
        <w:t>HCMC</w:t>
      </w:r>
      <w:r w:rsidR="00687EDB" w:rsidRPr="00EC2AED">
        <w:rPr>
          <w:rFonts w:asciiTheme="minorHAnsi" w:hAnsiTheme="minorHAnsi"/>
          <w:sz w:val="20"/>
          <w:szCs w:val="20"/>
        </w:rPr>
        <w:t xml:space="preserve"> will refund any amounts the patient has paid for care that exceed the amount they are determined to be personally responsible for paying</w:t>
      </w:r>
      <w:r w:rsidR="00F742ED" w:rsidRPr="00EC2AED">
        <w:rPr>
          <w:rFonts w:asciiTheme="minorHAnsi" w:hAnsiTheme="minorHAnsi"/>
          <w:sz w:val="20"/>
          <w:szCs w:val="20"/>
        </w:rPr>
        <w:t>.</w:t>
      </w:r>
    </w:p>
    <w:p w:rsidR="007D44E7" w:rsidRDefault="007D44E7" w:rsidP="007D44E7">
      <w:pPr>
        <w:pStyle w:val="NormalWeb"/>
        <w:shd w:val="clear" w:color="auto" w:fill="FFFFFF"/>
        <w:spacing w:before="0" w:beforeAutospacing="0" w:after="225" w:afterAutospacing="0"/>
        <w:ind w:left="360"/>
        <w:rPr>
          <w:rFonts w:asciiTheme="minorHAnsi" w:hAnsiTheme="minorHAnsi"/>
          <w:sz w:val="20"/>
          <w:szCs w:val="20"/>
        </w:rPr>
      </w:pPr>
      <w:r w:rsidRPr="007D44E7">
        <w:rPr>
          <w:rFonts w:asciiTheme="minorHAnsi" w:hAnsiTheme="minorHAnsi"/>
          <w:b/>
          <w:sz w:val="20"/>
          <w:szCs w:val="20"/>
        </w:rPr>
        <w:t>VIII.</w:t>
      </w:r>
      <w:r>
        <w:rPr>
          <w:rFonts w:asciiTheme="minorHAnsi" w:hAnsiTheme="minorHAnsi"/>
          <w:b/>
          <w:sz w:val="20"/>
          <w:szCs w:val="20"/>
        </w:rPr>
        <w:t xml:space="preserve"> </w:t>
      </w:r>
      <w:r w:rsidR="00F742ED" w:rsidRPr="00F742ED">
        <w:rPr>
          <w:rFonts w:asciiTheme="minorHAnsi" w:hAnsiTheme="minorHAnsi"/>
          <w:b/>
          <w:sz w:val="20"/>
          <w:szCs w:val="20"/>
        </w:rPr>
        <w:t>Discharge Medications</w:t>
      </w:r>
      <w:r w:rsidR="005B7148">
        <w:rPr>
          <w:rFonts w:asciiTheme="minorHAnsi" w:hAnsiTheme="minorHAnsi"/>
          <w:sz w:val="20"/>
          <w:szCs w:val="20"/>
        </w:rPr>
        <w:t xml:space="preserve">:  </w:t>
      </w:r>
      <w:r w:rsidR="00F742ED" w:rsidRPr="00F742ED">
        <w:rPr>
          <w:rFonts w:asciiTheme="minorHAnsi" w:hAnsiTheme="minorHAnsi"/>
          <w:sz w:val="20"/>
          <w:szCs w:val="20"/>
        </w:rPr>
        <w:t xml:space="preserve">It is routine and customary for </w:t>
      </w:r>
      <w:r w:rsidR="00C03EEC">
        <w:rPr>
          <w:rFonts w:asciiTheme="minorHAnsi" w:hAnsiTheme="minorHAnsi"/>
          <w:sz w:val="20"/>
          <w:szCs w:val="20"/>
        </w:rPr>
        <w:t>HCMC</w:t>
      </w:r>
      <w:r w:rsidR="00F742ED" w:rsidRPr="00F742ED">
        <w:rPr>
          <w:rFonts w:asciiTheme="minorHAnsi" w:hAnsiTheme="minorHAnsi"/>
          <w:sz w:val="20"/>
          <w:szCs w:val="20"/>
        </w:rPr>
        <w:t xml:space="preserve"> patients to receive scripts for pharmaceuticals to facilitate their care post discharge as a component of their</w:t>
      </w:r>
      <w:r w:rsidR="00C03EEC">
        <w:rPr>
          <w:rFonts w:asciiTheme="minorHAnsi" w:hAnsiTheme="minorHAnsi"/>
          <w:sz w:val="20"/>
          <w:szCs w:val="20"/>
        </w:rPr>
        <w:t xml:space="preserve"> on-going care plan. </w:t>
      </w:r>
      <w:r w:rsidR="00F742ED" w:rsidRPr="00F742ED">
        <w:rPr>
          <w:rFonts w:asciiTheme="minorHAnsi" w:hAnsiTheme="minorHAnsi"/>
          <w:sz w:val="20"/>
          <w:szCs w:val="20"/>
        </w:rPr>
        <w:t xml:space="preserve">Discharge Medications to be obtained at a Retail Pharmacy are a key component of the patient care transition. However, Retail Pharmacies follow a point of sale model requiring settlement of obligations prior to dispensing of the drugs which is a potential barrier to patient care transitions. Thus </w:t>
      </w:r>
      <w:r w:rsidR="00C03EEC">
        <w:rPr>
          <w:rFonts w:asciiTheme="minorHAnsi" w:hAnsiTheme="minorHAnsi"/>
          <w:sz w:val="20"/>
          <w:szCs w:val="20"/>
        </w:rPr>
        <w:t>HCMC</w:t>
      </w:r>
      <w:r w:rsidR="00F742ED" w:rsidRPr="00F742ED">
        <w:rPr>
          <w:rFonts w:asciiTheme="minorHAnsi" w:hAnsiTheme="minorHAnsi"/>
          <w:sz w:val="20"/>
          <w:szCs w:val="20"/>
        </w:rPr>
        <w:t xml:space="preserve"> allows professionals involved in a patient’s clinical care to deem a patient as eligible for financial assistance so as to receive Discharge Medications without expectation of payment. Discharge Medications can be provided free of charge to patients for a specific time period at the request of Social Services, Physicians, Nurses, Pharmacist, Case managers or other licensed </w:t>
      </w:r>
      <w:r>
        <w:rPr>
          <w:rFonts w:asciiTheme="minorHAnsi" w:hAnsiTheme="minorHAnsi"/>
          <w:sz w:val="20"/>
          <w:szCs w:val="20"/>
        </w:rPr>
        <w:t xml:space="preserve">clinicians.  </w:t>
      </w:r>
      <w:r w:rsidR="00F742ED" w:rsidRPr="00F742ED">
        <w:rPr>
          <w:rFonts w:asciiTheme="minorHAnsi" w:hAnsiTheme="minorHAnsi"/>
          <w:sz w:val="20"/>
          <w:szCs w:val="20"/>
        </w:rPr>
        <w:t xml:space="preserve">Any exceptions to this policy must be approved by the </w:t>
      </w:r>
      <w:r w:rsidR="00C03EEC">
        <w:rPr>
          <w:rFonts w:asciiTheme="minorHAnsi" w:hAnsiTheme="minorHAnsi"/>
          <w:sz w:val="20"/>
          <w:szCs w:val="20"/>
        </w:rPr>
        <w:t>HCMC</w:t>
      </w:r>
      <w:r w:rsidR="00F742ED" w:rsidRPr="00F742ED">
        <w:rPr>
          <w:rFonts w:asciiTheme="minorHAnsi" w:hAnsiTheme="minorHAnsi"/>
          <w:sz w:val="20"/>
          <w:szCs w:val="20"/>
        </w:rPr>
        <w:t xml:space="preserve"> Chief Ex</w:t>
      </w:r>
      <w:r w:rsidR="00C03EEC">
        <w:rPr>
          <w:rFonts w:asciiTheme="minorHAnsi" w:hAnsiTheme="minorHAnsi"/>
          <w:sz w:val="20"/>
          <w:szCs w:val="20"/>
        </w:rPr>
        <w:t>ecutive Office and / or the Chief Financial Officer.</w:t>
      </w:r>
    </w:p>
    <w:p w:rsidR="007D44E7" w:rsidRDefault="007D44E7" w:rsidP="007D44E7">
      <w:pPr>
        <w:pStyle w:val="NormalWeb"/>
        <w:shd w:val="clear" w:color="auto" w:fill="FFFFFF"/>
        <w:spacing w:before="0" w:beforeAutospacing="0" w:after="225" w:afterAutospacing="0"/>
        <w:rPr>
          <w:rFonts w:asciiTheme="minorHAnsi" w:hAnsiTheme="minorHAnsi"/>
          <w:b/>
          <w:sz w:val="20"/>
          <w:szCs w:val="20"/>
        </w:rPr>
      </w:pPr>
    </w:p>
    <w:p w:rsidR="007D44E7" w:rsidRDefault="007D44E7" w:rsidP="007D44E7">
      <w:pPr>
        <w:pStyle w:val="NormalWeb"/>
        <w:shd w:val="clear" w:color="auto" w:fill="FFFFFF"/>
        <w:spacing w:before="0" w:beforeAutospacing="0" w:after="225" w:afterAutospacing="0"/>
        <w:rPr>
          <w:rFonts w:asciiTheme="minorHAnsi" w:hAnsiTheme="minorHAnsi"/>
          <w:b/>
          <w:sz w:val="20"/>
          <w:szCs w:val="20"/>
        </w:rPr>
      </w:pPr>
    </w:p>
    <w:p w:rsidR="007D44E7" w:rsidRDefault="007D44E7" w:rsidP="007D44E7">
      <w:pPr>
        <w:pStyle w:val="NormalWeb"/>
        <w:shd w:val="clear" w:color="auto" w:fill="FFFFFF"/>
        <w:spacing w:before="0" w:beforeAutospacing="0" w:after="225" w:afterAutospacing="0"/>
        <w:rPr>
          <w:rFonts w:asciiTheme="minorHAnsi" w:hAnsiTheme="minorHAnsi"/>
          <w:b/>
          <w:sz w:val="20"/>
          <w:szCs w:val="20"/>
        </w:rPr>
      </w:pPr>
    </w:p>
    <w:p w:rsidR="007D44E7" w:rsidRDefault="007D44E7" w:rsidP="007D44E7">
      <w:pPr>
        <w:pStyle w:val="NormalWeb"/>
        <w:shd w:val="clear" w:color="auto" w:fill="FFFFFF"/>
        <w:spacing w:before="0" w:beforeAutospacing="0" w:after="225" w:afterAutospacing="0"/>
        <w:rPr>
          <w:rFonts w:asciiTheme="minorHAnsi" w:hAnsiTheme="minorHAnsi"/>
          <w:b/>
          <w:sz w:val="20"/>
          <w:szCs w:val="20"/>
        </w:rPr>
      </w:pPr>
    </w:p>
    <w:p w:rsidR="007D44E7" w:rsidRDefault="007D44E7" w:rsidP="007D44E7">
      <w:pPr>
        <w:pStyle w:val="NormalWeb"/>
        <w:shd w:val="clear" w:color="auto" w:fill="FFFFFF"/>
        <w:spacing w:before="0" w:beforeAutospacing="0" w:after="225" w:afterAutospacing="0"/>
        <w:rPr>
          <w:rFonts w:asciiTheme="minorHAnsi" w:hAnsiTheme="minorHAnsi"/>
          <w:b/>
          <w:sz w:val="20"/>
          <w:szCs w:val="20"/>
        </w:rPr>
      </w:pPr>
    </w:p>
    <w:p w:rsidR="007D44E7" w:rsidRDefault="007D44E7" w:rsidP="007D44E7">
      <w:pPr>
        <w:pStyle w:val="NormalWeb"/>
        <w:shd w:val="clear" w:color="auto" w:fill="FFFFFF"/>
        <w:spacing w:before="0" w:beforeAutospacing="0" w:after="225" w:afterAutospacing="0"/>
        <w:rPr>
          <w:rFonts w:asciiTheme="minorHAnsi" w:hAnsiTheme="minorHAnsi"/>
          <w:b/>
          <w:sz w:val="20"/>
          <w:szCs w:val="20"/>
        </w:rPr>
      </w:pPr>
    </w:p>
    <w:p w:rsidR="007D44E7" w:rsidRDefault="007D44E7" w:rsidP="007D44E7">
      <w:pPr>
        <w:pStyle w:val="NormalWeb"/>
        <w:shd w:val="clear" w:color="auto" w:fill="FFFFFF"/>
        <w:spacing w:before="0" w:beforeAutospacing="0" w:after="225" w:afterAutospacing="0"/>
        <w:rPr>
          <w:rFonts w:asciiTheme="minorHAnsi" w:hAnsiTheme="minorHAnsi"/>
          <w:b/>
          <w:sz w:val="20"/>
          <w:szCs w:val="20"/>
        </w:rPr>
      </w:pPr>
    </w:p>
    <w:p w:rsidR="005B7148" w:rsidRPr="007D44E7" w:rsidRDefault="00371955" w:rsidP="007D44E7">
      <w:pPr>
        <w:pStyle w:val="NormalWeb"/>
        <w:shd w:val="clear" w:color="auto" w:fill="FFFFFF"/>
        <w:spacing w:before="0" w:beforeAutospacing="0" w:after="225" w:afterAutospacing="0"/>
        <w:rPr>
          <w:rFonts w:asciiTheme="minorHAnsi" w:hAnsiTheme="minorHAnsi"/>
          <w:sz w:val="20"/>
          <w:szCs w:val="20"/>
        </w:rPr>
      </w:pPr>
      <w:proofErr w:type="gramStart"/>
      <w:r>
        <w:rPr>
          <w:rFonts w:asciiTheme="minorHAnsi" w:hAnsiTheme="minorHAnsi"/>
          <w:b/>
          <w:sz w:val="20"/>
          <w:szCs w:val="20"/>
        </w:rPr>
        <w:t>Appendix A.</w:t>
      </w:r>
      <w:proofErr w:type="gramEnd"/>
    </w:p>
    <w:p w:rsidR="00371955" w:rsidRDefault="00371955" w:rsidP="005B7148">
      <w:pPr>
        <w:pStyle w:val="NormalWeb"/>
        <w:shd w:val="clear" w:color="auto" w:fill="FFFFFF"/>
        <w:spacing w:before="0" w:beforeAutospacing="0" w:after="225" w:afterAutospacing="0"/>
        <w:jc w:val="center"/>
        <w:rPr>
          <w:rFonts w:asciiTheme="minorHAnsi" w:hAnsiTheme="minorHAnsi"/>
          <w:b/>
          <w:sz w:val="20"/>
          <w:szCs w:val="20"/>
        </w:rPr>
      </w:pPr>
      <w:r>
        <w:rPr>
          <w:rFonts w:asciiTheme="minorHAnsi" w:hAnsiTheme="minorHAnsi"/>
          <w:b/>
          <w:sz w:val="20"/>
          <w:szCs w:val="20"/>
        </w:rPr>
        <w:t>HCMC Financial Assistance Income Guidelines</w:t>
      </w:r>
    </w:p>
    <w:tbl>
      <w:tblPr>
        <w:tblW w:w="5000" w:type="pct"/>
        <w:tblLook w:val="04A0" w:firstRow="1" w:lastRow="0" w:firstColumn="1" w:lastColumn="0" w:noHBand="0" w:noVBand="1"/>
      </w:tblPr>
      <w:tblGrid>
        <w:gridCol w:w="1198"/>
        <w:gridCol w:w="1056"/>
        <w:gridCol w:w="893"/>
        <w:gridCol w:w="893"/>
        <w:gridCol w:w="892"/>
        <w:gridCol w:w="892"/>
        <w:gridCol w:w="892"/>
        <w:gridCol w:w="892"/>
        <w:gridCol w:w="984"/>
        <w:gridCol w:w="984"/>
      </w:tblGrid>
      <w:tr w:rsidR="00371955" w:rsidRPr="00371955" w:rsidTr="00371955">
        <w:trPr>
          <w:trHeight w:val="765"/>
        </w:trPr>
        <w:tc>
          <w:tcPr>
            <w:tcW w:w="6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71955" w:rsidRPr="00371955" w:rsidRDefault="00371955" w:rsidP="00371955">
            <w:pPr>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Household/</w:t>
            </w:r>
            <w:r w:rsidRPr="00371955">
              <w:rPr>
                <w:rFonts w:ascii="Calibri" w:eastAsia="Times New Roman" w:hAnsi="Calibri" w:cs="Times New Roman"/>
                <w:b/>
                <w:bCs/>
                <w:color w:val="000000"/>
                <w:sz w:val="20"/>
                <w:szCs w:val="20"/>
              </w:rPr>
              <w:br/>
              <w:t>Family Size</w:t>
            </w:r>
          </w:p>
        </w:tc>
        <w:tc>
          <w:tcPr>
            <w:tcW w:w="551" w:type="pct"/>
            <w:tcBorders>
              <w:top w:val="single" w:sz="4" w:space="0" w:color="auto"/>
              <w:left w:val="nil"/>
              <w:bottom w:val="single" w:sz="4" w:space="0" w:color="auto"/>
              <w:right w:val="single" w:sz="4" w:space="0" w:color="auto"/>
            </w:tcBorders>
            <w:shd w:val="clear" w:color="auto" w:fill="auto"/>
            <w:vAlign w:val="bottom"/>
            <w:hideMark/>
          </w:tcPr>
          <w:p w:rsidR="00371955" w:rsidRPr="00371955" w:rsidRDefault="00371955" w:rsidP="00371955">
            <w:pPr>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2018 Poverty Guideline</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150%</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175%</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190%</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210%</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220%</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230%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240%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250%</w:t>
            </w:r>
          </w:p>
        </w:tc>
      </w:tr>
      <w:tr w:rsidR="00371955" w:rsidRPr="00371955" w:rsidTr="00371955">
        <w:trPr>
          <w:trHeight w:val="24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371955" w:rsidRPr="00371955" w:rsidRDefault="00371955" w:rsidP="00371955">
            <w:pPr>
              <w:rPr>
                <w:rFonts w:ascii="Calibri" w:eastAsia="Times New Roman" w:hAnsi="Calibri" w:cs="Times New Roman"/>
                <w:b/>
                <w:bCs/>
                <w:color w:val="000000"/>
                <w:sz w:val="18"/>
                <w:szCs w:val="18"/>
              </w:rPr>
            </w:pPr>
            <w:r w:rsidRPr="00371955">
              <w:rPr>
                <w:rFonts w:ascii="Calibri" w:eastAsia="Times New Roman" w:hAnsi="Calibri" w:cs="Times New Roman"/>
                <w:b/>
                <w:bCs/>
                <w:color w:val="000000"/>
                <w:sz w:val="18"/>
                <w:szCs w:val="18"/>
              </w:rPr>
              <w:t>1</w:t>
            </w:r>
          </w:p>
        </w:tc>
        <w:tc>
          <w:tcPr>
            <w:tcW w:w="551"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12,140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$ 18,210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$ 21,245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$ 23,066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$ 25,494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$ 26,708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$ 27,922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29,136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30,350 </w:t>
            </w:r>
          </w:p>
        </w:tc>
      </w:tr>
      <w:tr w:rsidR="00371955" w:rsidRPr="00371955" w:rsidTr="00371955">
        <w:trPr>
          <w:trHeight w:val="24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371955" w:rsidRPr="00371955" w:rsidRDefault="00371955" w:rsidP="00371955">
            <w:pPr>
              <w:rPr>
                <w:rFonts w:ascii="Calibri" w:eastAsia="Times New Roman" w:hAnsi="Calibri" w:cs="Times New Roman"/>
                <w:b/>
                <w:bCs/>
                <w:color w:val="000000"/>
                <w:sz w:val="18"/>
                <w:szCs w:val="18"/>
              </w:rPr>
            </w:pPr>
            <w:r w:rsidRPr="00371955">
              <w:rPr>
                <w:rFonts w:ascii="Calibri" w:eastAsia="Times New Roman" w:hAnsi="Calibri" w:cs="Times New Roman"/>
                <w:b/>
                <w:bCs/>
                <w:color w:val="000000"/>
                <w:sz w:val="18"/>
                <w:szCs w:val="18"/>
              </w:rPr>
              <w:t>2</w:t>
            </w:r>
          </w:p>
        </w:tc>
        <w:tc>
          <w:tcPr>
            <w:tcW w:w="551"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16,460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$ 24,690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$ 28,805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$ 31,274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$ 34,566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$ 36,212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$ 37,858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39,504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41,150 </w:t>
            </w:r>
          </w:p>
        </w:tc>
      </w:tr>
      <w:tr w:rsidR="00371955" w:rsidRPr="00371955" w:rsidTr="00371955">
        <w:trPr>
          <w:trHeight w:val="24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371955" w:rsidRPr="00371955" w:rsidRDefault="00371955" w:rsidP="00371955">
            <w:pPr>
              <w:rPr>
                <w:rFonts w:ascii="Calibri" w:eastAsia="Times New Roman" w:hAnsi="Calibri" w:cs="Times New Roman"/>
                <w:b/>
                <w:bCs/>
                <w:color w:val="000000"/>
                <w:sz w:val="18"/>
                <w:szCs w:val="18"/>
              </w:rPr>
            </w:pPr>
            <w:r w:rsidRPr="00371955">
              <w:rPr>
                <w:rFonts w:ascii="Calibri" w:eastAsia="Times New Roman" w:hAnsi="Calibri" w:cs="Times New Roman"/>
                <w:b/>
                <w:bCs/>
                <w:color w:val="000000"/>
                <w:sz w:val="18"/>
                <w:szCs w:val="18"/>
              </w:rPr>
              <w:t>3</w:t>
            </w:r>
          </w:p>
        </w:tc>
        <w:tc>
          <w:tcPr>
            <w:tcW w:w="551"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20,780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$ 31,170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$ 36,365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$ 39,482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$ 43,638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$ 45,716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$ 47,794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49,872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51,950 </w:t>
            </w:r>
          </w:p>
        </w:tc>
      </w:tr>
      <w:tr w:rsidR="00371955" w:rsidRPr="00371955" w:rsidTr="00371955">
        <w:trPr>
          <w:trHeight w:val="24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371955" w:rsidRPr="00371955" w:rsidRDefault="00371955" w:rsidP="00371955">
            <w:pPr>
              <w:rPr>
                <w:rFonts w:ascii="Calibri" w:eastAsia="Times New Roman" w:hAnsi="Calibri" w:cs="Times New Roman"/>
                <w:b/>
                <w:bCs/>
                <w:color w:val="000000"/>
                <w:sz w:val="18"/>
                <w:szCs w:val="18"/>
              </w:rPr>
            </w:pPr>
            <w:r w:rsidRPr="00371955">
              <w:rPr>
                <w:rFonts w:ascii="Calibri" w:eastAsia="Times New Roman" w:hAnsi="Calibri" w:cs="Times New Roman"/>
                <w:b/>
                <w:bCs/>
                <w:color w:val="000000"/>
                <w:sz w:val="18"/>
                <w:szCs w:val="18"/>
              </w:rPr>
              <w:t>4</w:t>
            </w:r>
          </w:p>
        </w:tc>
        <w:tc>
          <w:tcPr>
            <w:tcW w:w="551"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25,100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$ 37,650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$ 43,925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$ 47,690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$ 52,710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$ 55,220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$ 57,730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60,240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62,750 </w:t>
            </w:r>
          </w:p>
        </w:tc>
      </w:tr>
      <w:tr w:rsidR="00371955" w:rsidRPr="00371955" w:rsidTr="00371955">
        <w:trPr>
          <w:trHeight w:val="24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371955" w:rsidRPr="00371955" w:rsidRDefault="00371955" w:rsidP="00371955">
            <w:pPr>
              <w:rPr>
                <w:rFonts w:ascii="Calibri" w:eastAsia="Times New Roman" w:hAnsi="Calibri" w:cs="Times New Roman"/>
                <w:b/>
                <w:bCs/>
                <w:color w:val="000000"/>
                <w:sz w:val="18"/>
                <w:szCs w:val="18"/>
              </w:rPr>
            </w:pPr>
            <w:r w:rsidRPr="00371955">
              <w:rPr>
                <w:rFonts w:ascii="Calibri" w:eastAsia="Times New Roman" w:hAnsi="Calibri" w:cs="Times New Roman"/>
                <w:b/>
                <w:bCs/>
                <w:color w:val="000000"/>
                <w:sz w:val="18"/>
                <w:szCs w:val="18"/>
              </w:rPr>
              <w:t>5</w:t>
            </w:r>
          </w:p>
        </w:tc>
        <w:tc>
          <w:tcPr>
            <w:tcW w:w="551"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29,420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$ 44,130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$ 51,485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$ 55,898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$ 61,782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$ 64,724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$ 67,666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70,608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73,550 </w:t>
            </w:r>
          </w:p>
        </w:tc>
      </w:tr>
      <w:tr w:rsidR="00371955" w:rsidRPr="00371955" w:rsidTr="00371955">
        <w:trPr>
          <w:trHeight w:val="24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371955" w:rsidRPr="00371955" w:rsidRDefault="00371955" w:rsidP="00371955">
            <w:pPr>
              <w:rPr>
                <w:rFonts w:ascii="Calibri" w:eastAsia="Times New Roman" w:hAnsi="Calibri" w:cs="Times New Roman"/>
                <w:b/>
                <w:bCs/>
                <w:color w:val="000000"/>
                <w:sz w:val="18"/>
                <w:szCs w:val="18"/>
              </w:rPr>
            </w:pPr>
            <w:r w:rsidRPr="00371955">
              <w:rPr>
                <w:rFonts w:ascii="Calibri" w:eastAsia="Times New Roman" w:hAnsi="Calibri" w:cs="Times New Roman"/>
                <w:b/>
                <w:bCs/>
                <w:color w:val="000000"/>
                <w:sz w:val="18"/>
                <w:szCs w:val="18"/>
              </w:rPr>
              <w:t>6</w:t>
            </w:r>
          </w:p>
        </w:tc>
        <w:tc>
          <w:tcPr>
            <w:tcW w:w="551"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33,740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$ 50,610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$ 59,045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$ 64,106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$ 70,854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$ 74,228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$ 77,602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80,976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84,350 </w:t>
            </w:r>
          </w:p>
        </w:tc>
      </w:tr>
      <w:tr w:rsidR="00371955" w:rsidRPr="00371955" w:rsidTr="00371955">
        <w:trPr>
          <w:trHeight w:val="24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371955" w:rsidRPr="00371955" w:rsidRDefault="00371955" w:rsidP="00371955">
            <w:pPr>
              <w:rPr>
                <w:rFonts w:ascii="Calibri" w:eastAsia="Times New Roman" w:hAnsi="Calibri" w:cs="Times New Roman"/>
                <w:b/>
                <w:bCs/>
                <w:color w:val="000000"/>
                <w:sz w:val="18"/>
                <w:szCs w:val="18"/>
              </w:rPr>
            </w:pPr>
            <w:r w:rsidRPr="00371955">
              <w:rPr>
                <w:rFonts w:ascii="Calibri" w:eastAsia="Times New Roman" w:hAnsi="Calibri" w:cs="Times New Roman"/>
                <w:b/>
                <w:bCs/>
                <w:color w:val="000000"/>
                <w:sz w:val="18"/>
                <w:szCs w:val="18"/>
              </w:rPr>
              <w:t>7</w:t>
            </w:r>
          </w:p>
        </w:tc>
        <w:tc>
          <w:tcPr>
            <w:tcW w:w="551"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38,060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$ 57,090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$ 66,605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$ 72,314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$ 79,926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$ 83,732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$ 87,538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91,344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95,150 </w:t>
            </w:r>
          </w:p>
        </w:tc>
      </w:tr>
      <w:tr w:rsidR="00371955" w:rsidRPr="00371955" w:rsidTr="00371955">
        <w:trPr>
          <w:trHeight w:val="240"/>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371955" w:rsidRPr="00371955" w:rsidRDefault="00371955" w:rsidP="00371955">
            <w:pPr>
              <w:rPr>
                <w:rFonts w:ascii="Calibri" w:eastAsia="Times New Roman" w:hAnsi="Calibri" w:cs="Times New Roman"/>
                <w:b/>
                <w:bCs/>
                <w:color w:val="000000"/>
                <w:sz w:val="18"/>
                <w:szCs w:val="18"/>
              </w:rPr>
            </w:pPr>
            <w:r w:rsidRPr="00371955">
              <w:rPr>
                <w:rFonts w:ascii="Calibri" w:eastAsia="Times New Roman" w:hAnsi="Calibri" w:cs="Times New Roman"/>
                <w:b/>
                <w:bCs/>
                <w:color w:val="000000"/>
                <w:sz w:val="18"/>
                <w:szCs w:val="18"/>
              </w:rPr>
              <w:t>8</w:t>
            </w:r>
          </w:p>
        </w:tc>
        <w:tc>
          <w:tcPr>
            <w:tcW w:w="551"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42,380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$ 63,570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$ 74,165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$ 80,522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$ 88,998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$ 93,236 </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$ 97,474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$ 101,712 </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color w:val="000000"/>
                <w:sz w:val="18"/>
                <w:szCs w:val="18"/>
              </w:rPr>
            </w:pPr>
            <w:r w:rsidRPr="00371955">
              <w:rPr>
                <w:rFonts w:ascii="Calibri" w:eastAsia="Times New Roman" w:hAnsi="Calibri" w:cs="Times New Roman"/>
                <w:color w:val="000000"/>
                <w:sz w:val="18"/>
                <w:szCs w:val="18"/>
              </w:rPr>
              <w:t xml:space="preserve"> $ 105,950 </w:t>
            </w:r>
          </w:p>
        </w:tc>
      </w:tr>
      <w:tr w:rsidR="00371955" w:rsidRPr="00371955" w:rsidTr="00371955">
        <w:trPr>
          <w:trHeight w:val="255"/>
        </w:trPr>
        <w:tc>
          <w:tcPr>
            <w:tcW w:w="625" w:type="pct"/>
            <w:tcBorders>
              <w:top w:val="nil"/>
              <w:left w:val="single" w:sz="4" w:space="0" w:color="auto"/>
              <w:bottom w:val="single" w:sz="4" w:space="0" w:color="auto"/>
              <w:right w:val="single" w:sz="4" w:space="0" w:color="auto"/>
            </w:tcBorders>
            <w:shd w:val="clear" w:color="auto" w:fill="auto"/>
            <w:noWrap/>
            <w:vAlign w:val="bottom"/>
            <w:hideMark/>
          </w:tcPr>
          <w:p w:rsidR="00371955" w:rsidRPr="00371955" w:rsidRDefault="00371955" w:rsidP="00371955">
            <w:pPr>
              <w:jc w:val="lef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Discount %</w:t>
            </w:r>
          </w:p>
        </w:tc>
        <w:tc>
          <w:tcPr>
            <w:tcW w:w="551"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100%</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100%</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80%</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80%</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70%</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70%</w:t>
            </w:r>
          </w:p>
        </w:tc>
        <w:tc>
          <w:tcPr>
            <w:tcW w:w="466"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70%</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70%</w:t>
            </w:r>
          </w:p>
        </w:tc>
        <w:tc>
          <w:tcPr>
            <w:tcW w:w="514" w:type="pct"/>
            <w:tcBorders>
              <w:top w:val="nil"/>
              <w:left w:val="nil"/>
              <w:bottom w:val="single" w:sz="4" w:space="0" w:color="auto"/>
              <w:right w:val="single" w:sz="4" w:space="0" w:color="auto"/>
            </w:tcBorders>
            <w:shd w:val="clear" w:color="auto" w:fill="auto"/>
            <w:noWrap/>
            <w:vAlign w:val="bottom"/>
            <w:hideMark/>
          </w:tcPr>
          <w:p w:rsidR="00371955" w:rsidRPr="00371955" w:rsidRDefault="00371955" w:rsidP="00371955">
            <w:pPr>
              <w:jc w:val="right"/>
              <w:rPr>
                <w:rFonts w:ascii="Calibri" w:eastAsia="Times New Roman" w:hAnsi="Calibri" w:cs="Times New Roman"/>
                <w:b/>
                <w:bCs/>
                <w:color w:val="000000"/>
                <w:sz w:val="20"/>
                <w:szCs w:val="20"/>
              </w:rPr>
            </w:pPr>
            <w:r w:rsidRPr="00371955">
              <w:rPr>
                <w:rFonts w:ascii="Calibri" w:eastAsia="Times New Roman" w:hAnsi="Calibri" w:cs="Times New Roman"/>
                <w:b/>
                <w:bCs/>
                <w:color w:val="000000"/>
                <w:sz w:val="20"/>
                <w:szCs w:val="20"/>
              </w:rPr>
              <w:t>70%</w:t>
            </w:r>
          </w:p>
        </w:tc>
      </w:tr>
    </w:tbl>
    <w:p w:rsidR="00371955" w:rsidRPr="00F742ED" w:rsidRDefault="00371955" w:rsidP="00371955">
      <w:pPr>
        <w:pStyle w:val="NormalWeb"/>
        <w:shd w:val="clear" w:color="auto" w:fill="FFFFFF"/>
        <w:spacing w:before="0" w:beforeAutospacing="0" w:after="225" w:afterAutospacing="0"/>
        <w:ind w:left="360"/>
        <w:rPr>
          <w:rFonts w:asciiTheme="minorHAnsi" w:hAnsiTheme="minorHAnsi" w:cs="Arial"/>
          <w:sz w:val="20"/>
          <w:szCs w:val="20"/>
        </w:rPr>
      </w:pPr>
    </w:p>
    <w:p w:rsidR="0063768C" w:rsidRDefault="0063768C" w:rsidP="0063768C">
      <w:pPr>
        <w:jc w:val="left"/>
      </w:pPr>
    </w:p>
    <w:p w:rsidR="00397D67" w:rsidRDefault="00397D67" w:rsidP="0063768C">
      <w:pPr>
        <w:jc w:val="left"/>
      </w:pPr>
    </w:p>
    <w:p w:rsidR="00397D67" w:rsidRDefault="00397D67" w:rsidP="0063768C">
      <w:pPr>
        <w:jc w:val="left"/>
      </w:pPr>
    </w:p>
    <w:p w:rsidR="00397D67" w:rsidRDefault="00397D67" w:rsidP="0063768C">
      <w:pPr>
        <w:jc w:val="left"/>
      </w:pPr>
    </w:p>
    <w:p w:rsidR="00397D67" w:rsidRDefault="00397D67" w:rsidP="0063768C">
      <w:pPr>
        <w:jc w:val="left"/>
      </w:pPr>
    </w:p>
    <w:p w:rsidR="00397D67" w:rsidRDefault="00397D67" w:rsidP="0063768C">
      <w:pPr>
        <w:jc w:val="left"/>
      </w:pPr>
    </w:p>
    <w:p w:rsidR="00397D67" w:rsidRDefault="00397D67" w:rsidP="0063768C">
      <w:pPr>
        <w:jc w:val="left"/>
      </w:pPr>
    </w:p>
    <w:p w:rsidR="00397D67" w:rsidRDefault="00397D67" w:rsidP="0063768C">
      <w:pPr>
        <w:jc w:val="left"/>
      </w:pPr>
    </w:p>
    <w:sectPr w:rsidR="00397D6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D77" w:rsidRDefault="00437D77" w:rsidP="0063768C">
      <w:r>
        <w:separator/>
      </w:r>
    </w:p>
  </w:endnote>
  <w:endnote w:type="continuationSeparator" w:id="0">
    <w:p w:rsidR="00437D77" w:rsidRDefault="00437D77" w:rsidP="0063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049963"/>
      <w:docPartObj>
        <w:docPartGallery w:val="Page Numbers (Bottom of Page)"/>
        <w:docPartUnique/>
      </w:docPartObj>
    </w:sdtPr>
    <w:sdtEndPr/>
    <w:sdtContent>
      <w:sdt>
        <w:sdtPr>
          <w:id w:val="-1669238322"/>
          <w:docPartObj>
            <w:docPartGallery w:val="Page Numbers (Top of Page)"/>
            <w:docPartUnique/>
          </w:docPartObj>
        </w:sdtPr>
        <w:sdtEndPr/>
        <w:sdtContent>
          <w:p w:rsidR="00946737" w:rsidRDefault="0094673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01EB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1EBF">
              <w:rPr>
                <w:b/>
                <w:bCs/>
                <w:noProof/>
              </w:rPr>
              <w:t>4</w:t>
            </w:r>
            <w:r>
              <w:rPr>
                <w:b/>
                <w:bCs/>
                <w:sz w:val="24"/>
                <w:szCs w:val="24"/>
              </w:rPr>
              <w:fldChar w:fldCharType="end"/>
            </w:r>
            <w:r>
              <w:rPr>
                <w:b/>
                <w:bCs/>
                <w:sz w:val="24"/>
                <w:szCs w:val="24"/>
              </w:rPr>
              <w:t xml:space="preserve"> Policy: </w:t>
            </w:r>
          </w:p>
        </w:sdtContent>
      </w:sdt>
    </w:sdtContent>
  </w:sdt>
  <w:p w:rsidR="0063768C" w:rsidRDefault="00637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D77" w:rsidRDefault="00437D77" w:rsidP="0063768C">
      <w:r>
        <w:separator/>
      </w:r>
    </w:p>
  </w:footnote>
  <w:footnote w:type="continuationSeparator" w:id="0">
    <w:p w:rsidR="00437D77" w:rsidRDefault="00437D77" w:rsidP="00637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94079"/>
    <w:multiLevelType w:val="hybridMultilevel"/>
    <w:tmpl w:val="726AECBA"/>
    <w:lvl w:ilvl="0" w:tplc="04090005">
      <w:start w:val="1"/>
      <w:numFmt w:val="bullet"/>
      <w:lvlText w:val=""/>
      <w:lvlJc w:val="left"/>
      <w:pPr>
        <w:ind w:left="4326" w:hanging="360"/>
      </w:pPr>
      <w:rPr>
        <w:rFonts w:ascii="Wingdings" w:hAnsi="Wingdings"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1">
    <w:nsid w:val="41C572A5"/>
    <w:multiLevelType w:val="hybridMultilevel"/>
    <w:tmpl w:val="0B9219B2"/>
    <w:lvl w:ilvl="0" w:tplc="73A021E8">
      <w:start w:val="7"/>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FA6FFD"/>
    <w:multiLevelType w:val="hybridMultilevel"/>
    <w:tmpl w:val="04241B36"/>
    <w:lvl w:ilvl="0" w:tplc="3CA624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8C"/>
    <w:rsid w:val="000652C5"/>
    <w:rsid w:val="00201EBF"/>
    <w:rsid w:val="002B771B"/>
    <w:rsid w:val="002D1248"/>
    <w:rsid w:val="002E741B"/>
    <w:rsid w:val="00314B6E"/>
    <w:rsid w:val="003240DE"/>
    <w:rsid w:val="00371955"/>
    <w:rsid w:val="00397D67"/>
    <w:rsid w:val="00411D34"/>
    <w:rsid w:val="00437D77"/>
    <w:rsid w:val="004C3B77"/>
    <w:rsid w:val="004E7F67"/>
    <w:rsid w:val="00553BFA"/>
    <w:rsid w:val="005A193C"/>
    <w:rsid w:val="005B7148"/>
    <w:rsid w:val="0063768C"/>
    <w:rsid w:val="00661F54"/>
    <w:rsid w:val="00687EDB"/>
    <w:rsid w:val="006D4D29"/>
    <w:rsid w:val="007D44E7"/>
    <w:rsid w:val="008667F7"/>
    <w:rsid w:val="008F4CC5"/>
    <w:rsid w:val="00946737"/>
    <w:rsid w:val="00955B5B"/>
    <w:rsid w:val="00B3443B"/>
    <w:rsid w:val="00B62F88"/>
    <w:rsid w:val="00B70079"/>
    <w:rsid w:val="00BE02F2"/>
    <w:rsid w:val="00C03EEC"/>
    <w:rsid w:val="00D202ED"/>
    <w:rsid w:val="00D71FC8"/>
    <w:rsid w:val="00DC476F"/>
    <w:rsid w:val="00E82A9E"/>
    <w:rsid w:val="00EC2AED"/>
    <w:rsid w:val="00F742ED"/>
    <w:rsid w:val="00FA2BF4"/>
    <w:rsid w:val="00FE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768C"/>
    <w:rPr>
      <w:rFonts w:ascii="Tahoma" w:hAnsi="Tahoma" w:cs="Tahoma"/>
      <w:sz w:val="16"/>
      <w:szCs w:val="16"/>
    </w:rPr>
  </w:style>
  <w:style w:type="character" w:customStyle="1" w:styleId="BalloonTextChar">
    <w:name w:val="Balloon Text Char"/>
    <w:basedOn w:val="DefaultParagraphFont"/>
    <w:link w:val="BalloonText"/>
    <w:uiPriority w:val="99"/>
    <w:semiHidden/>
    <w:rsid w:val="0063768C"/>
    <w:rPr>
      <w:rFonts w:ascii="Tahoma" w:hAnsi="Tahoma" w:cs="Tahoma"/>
      <w:sz w:val="16"/>
      <w:szCs w:val="16"/>
    </w:rPr>
  </w:style>
  <w:style w:type="paragraph" w:styleId="Header">
    <w:name w:val="header"/>
    <w:basedOn w:val="Normal"/>
    <w:link w:val="HeaderChar"/>
    <w:uiPriority w:val="99"/>
    <w:unhideWhenUsed/>
    <w:rsid w:val="0063768C"/>
    <w:pPr>
      <w:tabs>
        <w:tab w:val="center" w:pos="4680"/>
        <w:tab w:val="right" w:pos="9360"/>
      </w:tabs>
    </w:pPr>
  </w:style>
  <w:style w:type="character" w:customStyle="1" w:styleId="HeaderChar">
    <w:name w:val="Header Char"/>
    <w:basedOn w:val="DefaultParagraphFont"/>
    <w:link w:val="Header"/>
    <w:uiPriority w:val="99"/>
    <w:rsid w:val="0063768C"/>
  </w:style>
  <w:style w:type="paragraph" w:styleId="Footer">
    <w:name w:val="footer"/>
    <w:basedOn w:val="Normal"/>
    <w:link w:val="FooterChar"/>
    <w:uiPriority w:val="99"/>
    <w:unhideWhenUsed/>
    <w:rsid w:val="0063768C"/>
    <w:pPr>
      <w:tabs>
        <w:tab w:val="center" w:pos="4680"/>
        <w:tab w:val="right" w:pos="9360"/>
      </w:tabs>
    </w:pPr>
  </w:style>
  <w:style w:type="character" w:customStyle="1" w:styleId="FooterChar">
    <w:name w:val="Footer Char"/>
    <w:basedOn w:val="DefaultParagraphFont"/>
    <w:link w:val="Footer"/>
    <w:uiPriority w:val="99"/>
    <w:rsid w:val="0063768C"/>
  </w:style>
  <w:style w:type="paragraph" w:styleId="ListParagraph">
    <w:name w:val="List Paragraph"/>
    <w:basedOn w:val="Normal"/>
    <w:uiPriority w:val="34"/>
    <w:qFormat/>
    <w:rsid w:val="0063768C"/>
    <w:pPr>
      <w:ind w:left="720"/>
      <w:contextualSpacing/>
    </w:pPr>
  </w:style>
  <w:style w:type="paragraph" w:styleId="NormalWeb">
    <w:name w:val="Normal (Web)"/>
    <w:basedOn w:val="Normal"/>
    <w:uiPriority w:val="99"/>
    <w:unhideWhenUsed/>
    <w:rsid w:val="00FE6DA7"/>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02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768C"/>
    <w:rPr>
      <w:rFonts w:ascii="Tahoma" w:hAnsi="Tahoma" w:cs="Tahoma"/>
      <w:sz w:val="16"/>
      <w:szCs w:val="16"/>
    </w:rPr>
  </w:style>
  <w:style w:type="character" w:customStyle="1" w:styleId="BalloonTextChar">
    <w:name w:val="Balloon Text Char"/>
    <w:basedOn w:val="DefaultParagraphFont"/>
    <w:link w:val="BalloonText"/>
    <w:uiPriority w:val="99"/>
    <w:semiHidden/>
    <w:rsid w:val="0063768C"/>
    <w:rPr>
      <w:rFonts w:ascii="Tahoma" w:hAnsi="Tahoma" w:cs="Tahoma"/>
      <w:sz w:val="16"/>
      <w:szCs w:val="16"/>
    </w:rPr>
  </w:style>
  <w:style w:type="paragraph" w:styleId="Header">
    <w:name w:val="header"/>
    <w:basedOn w:val="Normal"/>
    <w:link w:val="HeaderChar"/>
    <w:uiPriority w:val="99"/>
    <w:unhideWhenUsed/>
    <w:rsid w:val="0063768C"/>
    <w:pPr>
      <w:tabs>
        <w:tab w:val="center" w:pos="4680"/>
        <w:tab w:val="right" w:pos="9360"/>
      </w:tabs>
    </w:pPr>
  </w:style>
  <w:style w:type="character" w:customStyle="1" w:styleId="HeaderChar">
    <w:name w:val="Header Char"/>
    <w:basedOn w:val="DefaultParagraphFont"/>
    <w:link w:val="Header"/>
    <w:uiPriority w:val="99"/>
    <w:rsid w:val="0063768C"/>
  </w:style>
  <w:style w:type="paragraph" w:styleId="Footer">
    <w:name w:val="footer"/>
    <w:basedOn w:val="Normal"/>
    <w:link w:val="FooterChar"/>
    <w:uiPriority w:val="99"/>
    <w:unhideWhenUsed/>
    <w:rsid w:val="0063768C"/>
    <w:pPr>
      <w:tabs>
        <w:tab w:val="center" w:pos="4680"/>
        <w:tab w:val="right" w:pos="9360"/>
      </w:tabs>
    </w:pPr>
  </w:style>
  <w:style w:type="character" w:customStyle="1" w:styleId="FooterChar">
    <w:name w:val="Footer Char"/>
    <w:basedOn w:val="DefaultParagraphFont"/>
    <w:link w:val="Footer"/>
    <w:uiPriority w:val="99"/>
    <w:rsid w:val="0063768C"/>
  </w:style>
  <w:style w:type="paragraph" w:styleId="ListParagraph">
    <w:name w:val="List Paragraph"/>
    <w:basedOn w:val="Normal"/>
    <w:uiPriority w:val="34"/>
    <w:qFormat/>
    <w:rsid w:val="0063768C"/>
    <w:pPr>
      <w:ind w:left="720"/>
      <w:contextualSpacing/>
    </w:pPr>
  </w:style>
  <w:style w:type="paragraph" w:styleId="NormalWeb">
    <w:name w:val="Normal (Web)"/>
    <w:basedOn w:val="Normal"/>
    <w:uiPriority w:val="99"/>
    <w:unhideWhenUsed/>
    <w:rsid w:val="00FE6DA7"/>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02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12776">
      <w:bodyDiv w:val="1"/>
      <w:marLeft w:val="0"/>
      <w:marRight w:val="0"/>
      <w:marTop w:val="0"/>
      <w:marBottom w:val="0"/>
      <w:divBdr>
        <w:top w:val="none" w:sz="0" w:space="0" w:color="auto"/>
        <w:left w:val="none" w:sz="0" w:space="0" w:color="auto"/>
        <w:bottom w:val="none" w:sz="0" w:space="0" w:color="auto"/>
        <w:right w:val="none" w:sz="0" w:space="0" w:color="auto"/>
      </w:divBdr>
    </w:div>
    <w:div w:id="987974118">
      <w:bodyDiv w:val="1"/>
      <w:marLeft w:val="0"/>
      <w:marRight w:val="0"/>
      <w:marTop w:val="0"/>
      <w:marBottom w:val="0"/>
      <w:divBdr>
        <w:top w:val="none" w:sz="0" w:space="0" w:color="auto"/>
        <w:left w:val="none" w:sz="0" w:space="0" w:color="auto"/>
        <w:bottom w:val="none" w:sz="0" w:space="0" w:color="auto"/>
        <w:right w:val="none" w:sz="0" w:space="0" w:color="auto"/>
      </w:divBdr>
    </w:div>
    <w:div w:id="1121219776">
      <w:bodyDiv w:val="1"/>
      <w:marLeft w:val="0"/>
      <w:marRight w:val="0"/>
      <w:marTop w:val="0"/>
      <w:marBottom w:val="0"/>
      <w:divBdr>
        <w:top w:val="none" w:sz="0" w:space="0" w:color="auto"/>
        <w:left w:val="none" w:sz="0" w:space="0" w:color="auto"/>
        <w:bottom w:val="none" w:sz="0" w:space="0" w:color="auto"/>
        <w:right w:val="none" w:sz="0" w:space="0" w:color="auto"/>
      </w:divBdr>
    </w:div>
    <w:div w:id="1327706699">
      <w:bodyDiv w:val="1"/>
      <w:marLeft w:val="0"/>
      <w:marRight w:val="0"/>
      <w:marTop w:val="0"/>
      <w:marBottom w:val="0"/>
      <w:divBdr>
        <w:top w:val="none" w:sz="0" w:space="0" w:color="auto"/>
        <w:left w:val="none" w:sz="0" w:space="0" w:color="auto"/>
        <w:bottom w:val="none" w:sz="0" w:space="0" w:color="auto"/>
        <w:right w:val="none" w:sz="0" w:space="0" w:color="auto"/>
      </w:divBdr>
    </w:div>
    <w:div w:id="197421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cmc-tn.org/patients-visitors/billing-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Henry County Medical Center</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 Mckee</dc:creator>
  <cp:lastModifiedBy>Kelly Winston</cp:lastModifiedBy>
  <cp:revision>3</cp:revision>
  <dcterms:created xsi:type="dcterms:W3CDTF">2018-04-04T21:31:00Z</dcterms:created>
  <dcterms:modified xsi:type="dcterms:W3CDTF">2018-05-02T13:41:00Z</dcterms:modified>
</cp:coreProperties>
</file>